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95" w:type="dxa"/>
        <w:tblLook w:val="04A0" w:firstRow="1" w:lastRow="0" w:firstColumn="1" w:lastColumn="0" w:noHBand="0" w:noVBand="1"/>
      </w:tblPr>
      <w:tblGrid>
        <w:gridCol w:w="2265"/>
        <w:gridCol w:w="8445"/>
      </w:tblGrid>
      <w:tr w:rsidR="00492048" w14:paraId="7F1D2AE8" w14:textId="77777777" w:rsidTr="00BA6A25">
        <w:tc>
          <w:tcPr>
            <w:tcW w:w="10710" w:type="dxa"/>
            <w:gridSpan w:val="2"/>
            <w:shd w:val="clear" w:color="auto" w:fill="2B5258" w:themeFill="accent5" w:themeFillShade="80"/>
          </w:tcPr>
          <w:p w14:paraId="6F7C6ECF" w14:textId="5B6116FB" w:rsidR="00C43079" w:rsidRDefault="00492048" w:rsidP="002A7982">
            <w:pPr>
              <w:spacing w:after="120"/>
              <w:jc w:val="center"/>
              <w:rPr>
                <w:rFonts w:cstheme="minorHAnsi"/>
                <w:b/>
                <w:bCs/>
                <w:i/>
                <w:iCs/>
                <w:color w:val="FFFFFF" w:themeColor="background1"/>
                <w:sz w:val="56"/>
                <w:szCs w:val="56"/>
              </w:rPr>
            </w:pPr>
            <w:r w:rsidRPr="002A7982">
              <w:rPr>
                <w:rFonts w:cstheme="minorHAnsi"/>
                <w:b/>
                <w:bCs/>
                <w:i/>
                <w:iCs/>
                <w:color w:val="FFFFFF" w:themeColor="background1"/>
                <w:sz w:val="56"/>
                <w:szCs w:val="56"/>
              </w:rPr>
              <w:t>A Virtual Institute</w:t>
            </w:r>
            <w:r w:rsidR="00C43079">
              <w:rPr>
                <w:rFonts w:cstheme="minorHAnsi"/>
                <w:b/>
                <w:bCs/>
                <w:i/>
                <w:iCs/>
                <w:color w:val="FFFFFF" w:themeColor="background1"/>
                <w:sz w:val="56"/>
                <w:szCs w:val="56"/>
              </w:rPr>
              <w:t xml:space="preserve"> </w:t>
            </w:r>
          </w:p>
          <w:p w14:paraId="5DFAF1DA" w14:textId="13B3F137" w:rsidR="002A7982" w:rsidRPr="002A7982" w:rsidRDefault="00492048" w:rsidP="002A7982">
            <w:pPr>
              <w:spacing w:after="120"/>
              <w:jc w:val="center"/>
              <w:rPr>
                <w:rFonts w:cstheme="minorHAnsi"/>
                <w:b/>
                <w:bCs/>
                <w:i/>
                <w:iCs/>
                <w:color w:val="FFFFFF" w:themeColor="background1"/>
                <w:sz w:val="56"/>
                <w:szCs w:val="56"/>
              </w:rPr>
            </w:pPr>
            <w:r w:rsidRPr="002A7982">
              <w:rPr>
                <w:rFonts w:cstheme="minorHAnsi"/>
                <w:b/>
                <w:bCs/>
                <w:i/>
                <w:iCs/>
                <w:color w:val="FFFFFF" w:themeColor="background1"/>
                <w:sz w:val="56"/>
                <w:szCs w:val="56"/>
              </w:rPr>
              <w:t xml:space="preserve">Alternative Assessment </w:t>
            </w:r>
            <w:r w:rsidR="00910EE5">
              <w:rPr>
                <w:rFonts w:cstheme="minorHAnsi"/>
                <w:b/>
                <w:bCs/>
                <w:i/>
                <w:iCs/>
                <w:color w:val="FFFFFF" w:themeColor="background1"/>
                <w:sz w:val="56"/>
                <w:szCs w:val="56"/>
              </w:rPr>
              <w:t xml:space="preserve">in Healthcare Studies </w:t>
            </w:r>
          </w:p>
        </w:tc>
      </w:tr>
      <w:tr w:rsidR="00492048" w14:paraId="183E60D7" w14:textId="77777777" w:rsidTr="00BA6A25">
        <w:tc>
          <w:tcPr>
            <w:tcW w:w="10710" w:type="dxa"/>
            <w:gridSpan w:val="2"/>
          </w:tcPr>
          <w:p w14:paraId="4BF5E06D" w14:textId="627E69CC" w:rsidR="005D4220" w:rsidRDefault="00910EE5" w:rsidP="00584BDE">
            <w:pPr>
              <w:spacing w:after="120"/>
              <w:jc w:val="center"/>
              <w:rPr>
                <w:b/>
                <w:bCs/>
                <w:sz w:val="40"/>
                <w:szCs w:val="40"/>
              </w:rPr>
            </w:pPr>
            <w:r>
              <w:rPr>
                <w:b/>
                <w:bCs/>
                <w:sz w:val="40"/>
                <w:szCs w:val="40"/>
              </w:rPr>
              <w:t>WEDNES</w:t>
            </w:r>
            <w:r w:rsidR="005D4220" w:rsidRPr="00A55D3A">
              <w:rPr>
                <w:b/>
                <w:bCs/>
                <w:sz w:val="40"/>
                <w:szCs w:val="40"/>
              </w:rPr>
              <w:t xml:space="preserve">DAY, </w:t>
            </w:r>
            <w:r>
              <w:rPr>
                <w:b/>
                <w:bCs/>
                <w:sz w:val="40"/>
                <w:szCs w:val="40"/>
              </w:rPr>
              <w:t xml:space="preserve">NOVEMBER </w:t>
            </w:r>
            <w:r w:rsidR="00D175F2">
              <w:rPr>
                <w:b/>
                <w:bCs/>
                <w:sz w:val="40"/>
                <w:szCs w:val="40"/>
              </w:rPr>
              <w:t>5th</w:t>
            </w:r>
            <w:r>
              <w:rPr>
                <w:b/>
                <w:bCs/>
                <w:sz w:val="40"/>
                <w:szCs w:val="40"/>
              </w:rPr>
              <w:t>, 2025</w:t>
            </w:r>
          </w:p>
          <w:p w14:paraId="5020F92F" w14:textId="7D88DBF9" w:rsidR="006C4A84" w:rsidRPr="00A55D3A" w:rsidRDefault="006C4A84" w:rsidP="00584BDE">
            <w:pPr>
              <w:spacing w:after="120"/>
              <w:jc w:val="center"/>
              <w:rPr>
                <w:b/>
                <w:bCs/>
                <w:sz w:val="40"/>
                <w:szCs w:val="40"/>
              </w:rPr>
            </w:pPr>
            <w:r>
              <w:rPr>
                <w:b/>
                <w:bCs/>
                <w:sz w:val="40"/>
                <w:szCs w:val="40"/>
              </w:rPr>
              <w:t>9:00am-</w:t>
            </w:r>
            <w:r w:rsidR="00637922">
              <w:rPr>
                <w:b/>
                <w:bCs/>
                <w:sz w:val="40"/>
                <w:szCs w:val="40"/>
              </w:rPr>
              <w:t>2:00</w:t>
            </w:r>
            <w:r>
              <w:rPr>
                <w:b/>
                <w:bCs/>
                <w:sz w:val="40"/>
                <w:szCs w:val="40"/>
              </w:rPr>
              <w:t>pm</w:t>
            </w:r>
            <w:r w:rsidR="002A5505">
              <w:rPr>
                <w:b/>
                <w:bCs/>
                <w:sz w:val="40"/>
                <w:szCs w:val="40"/>
              </w:rPr>
              <w:t xml:space="preserve"> EST</w:t>
            </w:r>
          </w:p>
          <w:p w14:paraId="3F00AECA" w14:textId="1A41B178" w:rsidR="007145E4" w:rsidRPr="00584BDE" w:rsidRDefault="007145E4" w:rsidP="002A5505">
            <w:pPr>
              <w:spacing w:after="120"/>
              <w:jc w:val="center"/>
              <w:rPr>
                <w:b/>
                <w:bCs/>
                <w:sz w:val="28"/>
                <w:szCs w:val="28"/>
              </w:rPr>
            </w:pPr>
          </w:p>
        </w:tc>
      </w:tr>
      <w:tr w:rsidR="00492048" w14:paraId="6B28FD24" w14:textId="77777777" w:rsidTr="00BA6A25">
        <w:tc>
          <w:tcPr>
            <w:tcW w:w="10710" w:type="dxa"/>
            <w:gridSpan w:val="2"/>
            <w:shd w:val="clear" w:color="auto" w:fill="417A84" w:themeFill="accent5" w:themeFillShade="BF"/>
          </w:tcPr>
          <w:p w14:paraId="104541D8" w14:textId="77777777" w:rsidR="001218AF" w:rsidRPr="002241A0" w:rsidRDefault="002A5505" w:rsidP="002A5505">
            <w:pPr>
              <w:spacing w:after="120"/>
              <w:jc w:val="center"/>
              <w:rPr>
                <w:rFonts w:cstheme="minorHAnsi"/>
                <w:b/>
                <w:bCs/>
                <w:color w:val="FFFFFF" w:themeColor="background1"/>
                <w:sz w:val="40"/>
                <w:szCs w:val="40"/>
                <w:u w:val="single"/>
              </w:rPr>
            </w:pPr>
            <w:r w:rsidRPr="002241A0">
              <w:rPr>
                <w:rFonts w:cstheme="minorHAnsi"/>
                <w:b/>
                <w:bCs/>
                <w:color w:val="FFFFFF" w:themeColor="background1"/>
                <w:sz w:val="40"/>
                <w:szCs w:val="40"/>
                <w:u w:val="single"/>
              </w:rPr>
              <w:t>AGENDA</w:t>
            </w:r>
          </w:p>
          <w:p w14:paraId="5AD9A8AE" w14:textId="7D04DE51" w:rsidR="002A5505" w:rsidRPr="001218AF" w:rsidRDefault="002A5505" w:rsidP="002A5505">
            <w:pPr>
              <w:spacing w:after="120"/>
              <w:jc w:val="center"/>
              <w:rPr>
                <w:rFonts w:cstheme="minorHAnsi"/>
                <w:b/>
                <w:bCs/>
                <w:color w:val="FFFFFF" w:themeColor="background1"/>
                <w:sz w:val="28"/>
                <w:szCs w:val="28"/>
              </w:rPr>
            </w:pPr>
          </w:p>
        </w:tc>
      </w:tr>
      <w:tr w:rsidR="00492048" w14:paraId="675AC27E" w14:textId="77777777" w:rsidTr="00A94567">
        <w:tc>
          <w:tcPr>
            <w:tcW w:w="2265" w:type="dxa"/>
            <w:tcBorders>
              <w:bottom w:val="single" w:sz="4" w:space="0" w:color="auto"/>
              <w:right w:val="nil"/>
            </w:tcBorders>
            <w:shd w:val="clear" w:color="auto" w:fill="9BC7CE" w:themeFill="accent5" w:themeFillTint="99"/>
          </w:tcPr>
          <w:p w14:paraId="1E84376E" w14:textId="1098A7D0" w:rsidR="00492048" w:rsidRPr="0002061A" w:rsidRDefault="00585AEA" w:rsidP="00492048">
            <w:pPr>
              <w:rPr>
                <w:b/>
                <w:bCs/>
                <w:color w:val="0070C0"/>
                <w:sz w:val="26"/>
                <w:szCs w:val="26"/>
              </w:rPr>
            </w:pPr>
            <w:r>
              <w:rPr>
                <w:rFonts w:cstheme="minorHAnsi"/>
                <w:b/>
                <w:bCs/>
                <w:sz w:val="26"/>
                <w:szCs w:val="26"/>
              </w:rPr>
              <w:t>9:00</w:t>
            </w:r>
            <w:r w:rsidR="00B00217">
              <w:rPr>
                <w:rFonts w:cstheme="minorHAnsi"/>
                <w:b/>
                <w:bCs/>
                <w:sz w:val="26"/>
                <w:szCs w:val="26"/>
              </w:rPr>
              <w:t xml:space="preserve"> </w:t>
            </w:r>
            <w:r w:rsidR="00B202D4">
              <w:rPr>
                <w:rFonts w:cstheme="minorHAnsi"/>
                <w:b/>
                <w:bCs/>
                <w:sz w:val="26"/>
                <w:szCs w:val="26"/>
              </w:rPr>
              <w:t>AM</w:t>
            </w:r>
          </w:p>
        </w:tc>
        <w:tc>
          <w:tcPr>
            <w:tcW w:w="8445" w:type="dxa"/>
            <w:tcBorders>
              <w:left w:val="nil"/>
            </w:tcBorders>
            <w:shd w:val="clear" w:color="auto" w:fill="9BC7CE" w:themeFill="accent5" w:themeFillTint="99"/>
          </w:tcPr>
          <w:p w14:paraId="06ABD31B" w14:textId="77777777" w:rsidR="00492048" w:rsidRPr="00342E11" w:rsidRDefault="00492048" w:rsidP="00492048">
            <w:pPr>
              <w:rPr>
                <w:rFonts w:cstheme="minorHAnsi"/>
                <w:sz w:val="28"/>
                <w:szCs w:val="28"/>
              </w:rPr>
            </w:pPr>
            <w:r w:rsidRPr="00342E11">
              <w:rPr>
                <w:rFonts w:cstheme="minorHAnsi"/>
                <w:b/>
                <w:bCs/>
                <w:sz w:val="28"/>
                <w:szCs w:val="28"/>
              </w:rPr>
              <w:t>Welcome to the Institute</w:t>
            </w:r>
            <w:r w:rsidRPr="00342E11">
              <w:rPr>
                <w:rFonts w:cstheme="minorHAnsi"/>
                <w:sz w:val="28"/>
                <w:szCs w:val="28"/>
              </w:rPr>
              <w:t xml:space="preserve"> </w:t>
            </w:r>
          </w:p>
          <w:p w14:paraId="514F396C" w14:textId="579C9B21" w:rsidR="00C165A1" w:rsidRPr="00C165A1" w:rsidRDefault="0010151A" w:rsidP="002A7982">
            <w:pPr>
              <w:spacing w:after="120"/>
              <w:rPr>
                <w:rFonts w:cstheme="minorHAnsi"/>
                <w:b/>
                <w:bCs/>
                <w:sz w:val="24"/>
                <w:szCs w:val="24"/>
              </w:rPr>
            </w:pPr>
            <w:r w:rsidRPr="00342E11">
              <w:rPr>
                <w:rFonts w:cstheme="minorHAnsi"/>
                <w:b/>
                <w:bCs/>
                <w:sz w:val="28"/>
                <w:szCs w:val="28"/>
              </w:rPr>
              <w:t xml:space="preserve">Conference </w:t>
            </w:r>
            <w:r w:rsidR="00A55D3A" w:rsidRPr="00342E11">
              <w:rPr>
                <w:rFonts w:cstheme="minorHAnsi"/>
                <w:b/>
                <w:bCs/>
                <w:sz w:val="28"/>
                <w:szCs w:val="28"/>
              </w:rPr>
              <w:t>co-</w:t>
            </w:r>
            <w:r w:rsidRPr="00342E11">
              <w:rPr>
                <w:rFonts w:cstheme="minorHAnsi"/>
                <w:b/>
                <w:bCs/>
                <w:sz w:val="28"/>
                <w:szCs w:val="28"/>
              </w:rPr>
              <w:t>organizer</w:t>
            </w:r>
            <w:r w:rsidR="00342E11" w:rsidRPr="00342E11">
              <w:rPr>
                <w:rFonts w:cstheme="minorHAnsi"/>
                <w:b/>
                <w:bCs/>
                <w:sz w:val="28"/>
                <w:szCs w:val="28"/>
              </w:rPr>
              <w:t>s</w:t>
            </w:r>
            <w:r w:rsidRPr="00342E11">
              <w:rPr>
                <w:rFonts w:cstheme="minorHAnsi"/>
                <w:b/>
                <w:bCs/>
                <w:sz w:val="28"/>
                <w:szCs w:val="28"/>
              </w:rPr>
              <w:t xml:space="preserve">: </w:t>
            </w:r>
            <w:r w:rsidR="00ED10F4" w:rsidRPr="00342E11">
              <w:rPr>
                <w:rFonts w:cstheme="minorHAnsi"/>
                <w:b/>
                <w:bCs/>
                <w:sz w:val="28"/>
                <w:szCs w:val="28"/>
              </w:rPr>
              <w:t>Eliana El</w:t>
            </w:r>
            <w:r w:rsidR="00AC76A3" w:rsidRPr="00342E11">
              <w:rPr>
                <w:rFonts w:cstheme="minorHAnsi"/>
                <w:b/>
                <w:bCs/>
                <w:sz w:val="28"/>
                <w:szCs w:val="28"/>
              </w:rPr>
              <w:t xml:space="preserve"> K</w:t>
            </w:r>
            <w:r w:rsidR="00ED10F4" w:rsidRPr="00342E11">
              <w:rPr>
                <w:rFonts w:cstheme="minorHAnsi"/>
                <w:b/>
                <w:bCs/>
                <w:sz w:val="28"/>
                <w:szCs w:val="28"/>
              </w:rPr>
              <w:t>houry</w:t>
            </w:r>
            <w:r w:rsidR="00342E11" w:rsidRPr="00342E11">
              <w:rPr>
                <w:rFonts w:cstheme="minorHAnsi"/>
                <w:b/>
                <w:bCs/>
                <w:sz w:val="28"/>
                <w:szCs w:val="28"/>
              </w:rPr>
              <w:t xml:space="preserve"> and Deb Homuth</w:t>
            </w:r>
            <w:r w:rsidR="00BB6413" w:rsidRPr="00342E11">
              <w:rPr>
                <w:rFonts w:cstheme="minorHAnsi"/>
                <w:b/>
                <w:bCs/>
                <w:sz w:val="28"/>
                <w:szCs w:val="28"/>
              </w:rPr>
              <w:t>, Athabasca University</w:t>
            </w:r>
            <w:r w:rsidR="001218AF">
              <w:rPr>
                <w:rFonts w:cstheme="minorHAnsi"/>
                <w:b/>
                <w:bCs/>
                <w:sz w:val="28"/>
                <w:szCs w:val="28"/>
              </w:rPr>
              <w:t xml:space="preserve">; Susana </w:t>
            </w:r>
            <w:r w:rsidR="00DF4D22">
              <w:rPr>
                <w:rFonts w:cstheme="minorHAnsi"/>
                <w:b/>
                <w:bCs/>
                <w:sz w:val="28"/>
                <w:szCs w:val="28"/>
              </w:rPr>
              <w:t xml:space="preserve">Ku Caronell, </w:t>
            </w:r>
            <w:r w:rsidR="00585AEA">
              <w:rPr>
                <w:rFonts w:cstheme="minorHAnsi"/>
                <w:b/>
                <w:bCs/>
                <w:sz w:val="28"/>
                <w:szCs w:val="28"/>
              </w:rPr>
              <w:t>McMaster University</w:t>
            </w:r>
          </w:p>
        </w:tc>
      </w:tr>
      <w:tr w:rsidR="002611DF" w14:paraId="023E2219" w14:textId="77777777" w:rsidTr="00A94567">
        <w:tc>
          <w:tcPr>
            <w:tcW w:w="2265" w:type="dxa"/>
            <w:tcBorders>
              <w:bottom w:val="single" w:sz="4" w:space="0" w:color="auto"/>
              <w:right w:val="nil"/>
            </w:tcBorders>
          </w:tcPr>
          <w:p w14:paraId="380B9129" w14:textId="605FACE6" w:rsidR="0025285D" w:rsidRDefault="00585AEA" w:rsidP="006A0A9B">
            <w:pPr>
              <w:rPr>
                <w:rFonts w:cstheme="minorHAnsi"/>
                <w:b/>
                <w:bCs/>
                <w:sz w:val="26"/>
                <w:szCs w:val="26"/>
              </w:rPr>
            </w:pPr>
            <w:r>
              <w:rPr>
                <w:rFonts w:cstheme="minorHAnsi"/>
                <w:b/>
                <w:bCs/>
                <w:sz w:val="26"/>
                <w:szCs w:val="26"/>
              </w:rPr>
              <w:t>9:</w:t>
            </w:r>
            <w:r w:rsidR="00345C28">
              <w:rPr>
                <w:rFonts w:cstheme="minorHAnsi"/>
                <w:b/>
                <w:bCs/>
                <w:sz w:val="26"/>
                <w:szCs w:val="26"/>
              </w:rPr>
              <w:t>1</w:t>
            </w:r>
            <w:r>
              <w:rPr>
                <w:rFonts w:cstheme="minorHAnsi"/>
                <w:b/>
                <w:bCs/>
                <w:sz w:val="26"/>
                <w:szCs w:val="26"/>
              </w:rPr>
              <w:t>0</w:t>
            </w:r>
            <w:r w:rsidR="00B00217">
              <w:rPr>
                <w:rFonts w:cstheme="minorHAnsi"/>
                <w:b/>
                <w:bCs/>
                <w:sz w:val="26"/>
                <w:szCs w:val="26"/>
              </w:rPr>
              <w:t xml:space="preserve"> </w:t>
            </w:r>
            <w:r w:rsidR="00B202D4">
              <w:rPr>
                <w:rFonts w:cstheme="minorHAnsi"/>
                <w:b/>
                <w:bCs/>
                <w:sz w:val="26"/>
                <w:szCs w:val="26"/>
              </w:rPr>
              <w:t>AM</w:t>
            </w:r>
            <w:r>
              <w:rPr>
                <w:rFonts w:cstheme="minorHAnsi"/>
                <w:b/>
                <w:bCs/>
                <w:sz w:val="26"/>
                <w:szCs w:val="26"/>
              </w:rPr>
              <w:t xml:space="preserve"> </w:t>
            </w:r>
            <w:r w:rsidR="0025285D" w:rsidRPr="001C188E">
              <w:rPr>
                <w:rFonts w:cstheme="minorHAnsi"/>
                <w:b/>
                <w:bCs/>
                <w:sz w:val="26"/>
                <w:szCs w:val="26"/>
              </w:rPr>
              <w:t>PRESENTATION</w:t>
            </w:r>
          </w:p>
          <w:p w14:paraId="0EC3D0C1" w14:textId="77777777" w:rsidR="002611DF" w:rsidRPr="0002061A" w:rsidRDefault="002611DF" w:rsidP="00492048">
            <w:pPr>
              <w:rPr>
                <w:rFonts w:cstheme="minorHAnsi"/>
                <w:b/>
                <w:bCs/>
                <w:sz w:val="26"/>
                <w:szCs w:val="26"/>
              </w:rPr>
            </w:pPr>
          </w:p>
        </w:tc>
        <w:tc>
          <w:tcPr>
            <w:tcW w:w="8445" w:type="dxa"/>
            <w:tcBorders>
              <w:left w:val="nil"/>
            </w:tcBorders>
          </w:tcPr>
          <w:p w14:paraId="639B3798" w14:textId="67215580" w:rsidR="00BB74EF" w:rsidRPr="002676FA" w:rsidRDefault="007872B4" w:rsidP="006A0A9B">
            <w:pPr>
              <w:rPr>
                <w:rFonts w:cstheme="minorHAnsi"/>
                <w:b/>
                <w:bCs/>
                <w:sz w:val="28"/>
                <w:szCs w:val="28"/>
              </w:rPr>
            </w:pPr>
            <w:r w:rsidRPr="002676FA">
              <w:rPr>
                <w:rFonts w:cstheme="minorHAnsi"/>
                <w:b/>
                <w:bCs/>
                <w:sz w:val="28"/>
                <w:szCs w:val="28"/>
              </w:rPr>
              <w:t xml:space="preserve">Blessing Maregere, Leeds Trinity </w:t>
            </w:r>
            <w:r w:rsidR="00F42A90" w:rsidRPr="002676FA">
              <w:rPr>
                <w:rFonts w:cstheme="minorHAnsi"/>
                <w:b/>
                <w:bCs/>
                <w:sz w:val="28"/>
                <w:szCs w:val="28"/>
              </w:rPr>
              <w:t>University</w:t>
            </w:r>
            <w:r w:rsidR="002676FA" w:rsidRPr="002676FA">
              <w:rPr>
                <w:rFonts w:cstheme="minorHAnsi"/>
                <w:b/>
                <w:bCs/>
                <w:sz w:val="28"/>
                <w:szCs w:val="28"/>
              </w:rPr>
              <w:t>, U.K.</w:t>
            </w:r>
          </w:p>
          <w:p w14:paraId="1DD0887F" w14:textId="77777777" w:rsidR="00465ECD" w:rsidRPr="002676FA" w:rsidRDefault="00465ECD" w:rsidP="006A0A9B">
            <w:pPr>
              <w:rPr>
                <w:rFonts w:cstheme="minorHAnsi"/>
                <w:b/>
                <w:bCs/>
                <w:i/>
                <w:iCs/>
                <w:sz w:val="28"/>
                <w:szCs w:val="28"/>
              </w:rPr>
            </w:pPr>
          </w:p>
          <w:p w14:paraId="79D7F4CE" w14:textId="01C5D6DD" w:rsidR="00253061" w:rsidRPr="002676FA" w:rsidRDefault="00253061" w:rsidP="006A0A9B">
            <w:pPr>
              <w:rPr>
                <w:rStyle w:val="normaltextrun"/>
                <w:b/>
                <w:bCs/>
                <w:sz w:val="28"/>
                <w:szCs w:val="28"/>
              </w:rPr>
            </w:pPr>
            <w:r w:rsidRPr="002676FA">
              <w:rPr>
                <w:rFonts w:cstheme="minorHAnsi"/>
                <w:b/>
                <w:bCs/>
                <w:i/>
                <w:iCs/>
                <w:sz w:val="28"/>
                <w:szCs w:val="28"/>
              </w:rPr>
              <w:t>“</w:t>
            </w:r>
            <w:r w:rsidR="00465ECD" w:rsidRPr="002676FA">
              <w:rPr>
                <w:b/>
                <w:bCs/>
                <w:sz w:val="28"/>
                <w:szCs w:val="28"/>
              </w:rPr>
              <w:t>Professional Discussion as a Dialogic and Alternative Assessment in Higher Education</w:t>
            </w:r>
            <w:r w:rsidRPr="002676FA">
              <w:rPr>
                <w:rStyle w:val="normaltextrun"/>
                <w:rFonts w:cstheme="minorHAnsi"/>
                <w:b/>
                <w:bCs/>
                <w:i/>
                <w:iCs/>
                <w:sz w:val="28"/>
                <w:szCs w:val="28"/>
                <w:shd w:val="clear" w:color="auto" w:fill="FFFFFF"/>
              </w:rPr>
              <w:t>”</w:t>
            </w:r>
          </w:p>
          <w:p w14:paraId="50D1E9C3" w14:textId="77777777" w:rsidR="00253061" w:rsidRPr="00BE31DD" w:rsidRDefault="00253061" w:rsidP="006A0A9B">
            <w:pPr>
              <w:rPr>
                <w:rFonts w:cstheme="minorHAnsi"/>
                <w:sz w:val="24"/>
                <w:szCs w:val="24"/>
              </w:rPr>
            </w:pPr>
          </w:p>
          <w:p w14:paraId="6C691BCD" w14:textId="4A8FFC03" w:rsidR="008B0EF2" w:rsidRPr="00BE31DD" w:rsidRDefault="008B0EF2" w:rsidP="00BE31DD">
            <w:pPr>
              <w:spacing w:line="259" w:lineRule="auto"/>
              <w:rPr>
                <w:sz w:val="24"/>
                <w:szCs w:val="24"/>
              </w:rPr>
            </w:pPr>
            <w:r w:rsidRPr="00BE31DD">
              <w:rPr>
                <w:sz w:val="24"/>
                <w:szCs w:val="24"/>
              </w:rPr>
              <w:t>This presentation explores Professional Discussion (PD) as an innovative dialogic assessment method that provides a robust alternative to traditional written examinations and essays. Rooted in dialogic pedagogy and formative assessment theory, PD engages learners in structured, evidence-based conversations that allow them to articulate knowledge, demonstrate professional judgement, and critically reflect on practice in authentic ways. Unlike one-off tests, PDs create a dynamic space for co-construction of meaning between student</w:t>
            </w:r>
            <w:r w:rsidR="00E80BDF">
              <w:rPr>
                <w:sz w:val="24"/>
                <w:szCs w:val="24"/>
              </w:rPr>
              <w:t>s</w:t>
            </w:r>
            <w:r w:rsidRPr="00BE31DD">
              <w:rPr>
                <w:sz w:val="24"/>
                <w:szCs w:val="24"/>
              </w:rPr>
              <w:t xml:space="preserve"> and educators, fostering deeper learning, reflective engagement, and inclusivity. Drawing from doctoral research on degree apprenticeships, the session will illustrate how PDs can be adapted for healthcare education to assess both technical competence and human-centred skills such as empathy, ethical reasoning, and communication. Participants will gain practical insights into designing, facilitating, and assuring quality in PDs, while also considering their potential as AI-resistant, authentic assessments that mirror real-world professional dialogue.</w:t>
            </w:r>
          </w:p>
          <w:p w14:paraId="092C441F" w14:textId="34A54900" w:rsidR="002611DF" w:rsidRPr="00BE31DD" w:rsidRDefault="002611DF" w:rsidP="00174B85">
            <w:pPr>
              <w:spacing w:line="259" w:lineRule="auto"/>
              <w:rPr>
                <w:rFonts w:cstheme="minorHAnsi"/>
                <w:b/>
                <w:bCs/>
                <w:i/>
                <w:iCs/>
                <w:sz w:val="24"/>
                <w:szCs w:val="24"/>
              </w:rPr>
            </w:pPr>
          </w:p>
        </w:tc>
      </w:tr>
      <w:tr w:rsidR="001D3057" w14:paraId="2797DE2B" w14:textId="77777777" w:rsidTr="00A94567">
        <w:tc>
          <w:tcPr>
            <w:tcW w:w="2265" w:type="dxa"/>
            <w:tcBorders>
              <w:bottom w:val="single" w:sz="4" w:space="0" w:color="auto"/>
              <w:right w:val="nil"/>
            </w:tcBorders>
            <w:shd w:val="clear" w:color="auto" w:fill="9BC7CE" w:themeFill="accent5" w:themeFillTint="99"/>
          </w:tcPr>
          <w:p w14:paraId="1F8AC480" w14:textId="77777777" w:rsidR="001D3057" w:rsidRPr="0002061A" w:rsidRDefault="001D3057" w:rsidP="006A0A9B">
            <w:pPr>
              <w:rPr>
                <w:rFonts w:cstheme="minorHAnsi"/>
                <w:b/>
                <w:bCs/>
                <w:sz w:val="26"/>
                <w:szCs w:val="26"/>
              </w:rPr>
            </w:pPr>
          </w:p>
        </w:tc>
        <w:tc>
          <w:tcPr>
            <w:tcW w:w="8445" w:type="dxa"/>
            <w:tcBorders>
              <w:left w:val="nil"/>
            </w:tcBorders>
            <w:shd w:val="clear" w:color="auto" w:fill="9BC7CE" w:themeFill="accent5" w:themeFillTint="99"/>
          </w:tcPr>
          <w:p w14:paraId="29A12F14" w14:textId="77777777" w:rsidR="001D3057" w:rsidRPr="009D61A2" w:rsidRDefault="001D3057" w:rsidP="006A0A9B">
            <w:pPr>
              <w:rPr>
                <w:rFonts w:cstheme="minorHAnsi"/>
                <w:b/>
                <w:bCs/>
                <w:sz w:val="24"/>
                <w:szCs w:val="24"/>
              </w:rPr>
            </w:pPr>
          </w:p>
        </w:tc>
      </w:tr>
      <w:tr w:rsidR="00492048" w14:paraId="3FC65137" w14:textId="77777777" w:rsidTr="00A94567">
        <w:tc>
          <w:tcPr>
            <w:tcW w:w="2265" w:type="dxa"/>
            <w:tcBorders>
              <w:right w:val="nil"/>
            </w:tcBorders>
          </w:tcPr>
          <w:p w14:paraId="72AB255A" w14:textId="3AF4E02D" w:rsidR="0025285D" w:rsidRDefault="008B0EF2" w:rsidP="006A0A9B">
            <w:pPr>
              <w:rPr>
                <w:rFonts w:cstheme="minorHAnsi"/>
                <w:b/>
                <w:bCs/>
                <w:sz w:val="26"/>
                <w:szCs w:val="26"/>
              </w:rPr>
            </w:pPr>
            <w:r>
              <w:rPr>
                <w:b/>
                <w:bCs/>
                <w:sz w:val="26"/>
                <w:szCs w:val="26"/>
              </w:rPr>
              <w:t>9:30</w:t>
            </w:r>
            <w:r w:rsidR="00B202D4">
              <w:rPr>
                <w:b/>
                <w:bCs/>
                <w:sz w:val="26"/>
                <w:szCs w:val="26"/>
              </w:rPr>
              <w:t>AM</w:t>
            </w:r>
          </w:p>
          <w:p w14:paraId="1ED4C3FC" w14:textId="380AA72D" w:rsidR="008B0EF2" w:rsidRPr="0002061A" w:rsidRDefault="008B0EF2" w:rsidP="006A0A9B">
            <w:pPr>
              <w:rPr>
                <w:b/>
                <w:bCs/>
                <w:color w:val="0070C0"/>
                <w:sz w:val="26"/>
                <w:szCs w:val="26"/>
              </w:rPr>
            </w:pPr>
            <w:r w:rsidRPr="008B0EF2">
              <w:rPr>
                <w:b/>
                <w:bCs/>
                <w:sz w:val="26"/>
                <w:szCs w:val="26"/>
              </w:rPr>
              <w:t>KEYNOTE ADDRESS</w:t>
            </w:r>
          </w:p>
        </w:tc>
        <w:tc>
          <w:tcPr>
            <w:tcW w:w="8445" w:type="dxa"/>
            <w:tcBorders>
              <w:left w:val="nil"/>
            </w:tcBorders>
          </w:tcPr>
          <w:p w14:paraId="1A5C2F37" w14:textId="382A17D6" w:rsidR="00BB74EF" w:rsidRPr="002676FA" w:rsidRDefault="00CB7308" w:rsidP="005C3AA8">
            <w:pPr>
              <w:rPr>
                <w:b/>
                <w:bCs/>
                <w:sz w:val="28"/>
                <w:szCs w:val="28"/>
              </w:rPr>
            </w:pPr>
            <w:r w:rsidRPr="002676FA">
              <w:rPr>
                <w:b/>
                <w:bCs/>
                <w:sz w:val="28"/>
                <w:szCs w:val="28"/>
              </w:rPr>
              <w:t>Zoha Salam</w:t>
            </w:r>
            <w:r w:rsidR="00BE31DD" w:rsidRPr="002676FA">
              <w:rPr>
                <w:b/>
                <w:bCs/>
                <w:sz w:val="28"/>
                <w:szCs w:val="28"/>
              </w:rPr>
              <w:t>, McMaster University, Canada</w:t>
            </w:r>
          </w:p>
          <w:p w14:paraId="7A85CE29" w14:textId="77777777" w:rsidR="00334184" w:rsidRPr="002676FA" w:rsidRDefault="00334184" w:rsidP="005C3AA8">
            <w:pPr>
              <w:rPr>
                <w:rFonts w:cstheme="minorHAnsi"/>
                <w:b/>
                <w:bCs/>
                <w:sz w:val="28"/>
                <w:szCs w:val="28"/>
              </w:rPr>
            </w:pPr>
          </w:p>
          <w:p w14:paraId="1663963E" w14:textId="7AEF3858" w:rsidR="00914315" w:rsidRPr="002676FA" w:rsidRDefault="00914315" w:rsidP="00334184">
            <w:pPr>
              <w:spacing w:after="160" w:line="259" w:lineRule="auto"/>
              <w:rPr>
                <w:b/>
                <w:bCs/>
                <w:sz w:val="28"/>
                <w:szCs w:val="28"/>
              </w:rPr>
            </w:pPr>
            <w:r w:rsidRPr="002676FA">
              <w:rPr>
                <w:rFonts w:cstheme="minorHAnsi"/>
                <w:b/>
                <w:bCs/>
                <w:i/>
                <w:iCs/>
                <w:color w:val="242424"/>
                <w:sz w:val="28"/>
                <w:szCs w:val="28"/>
              </w:rPr>
              <w:t>“</w:t>
            </w:r>
            <w:r w:rsidR="00334184" w:rsidRPr="005A6B10">
              <w:rPr>
                <w:b/>
                <w:bCs/>
                <w:sz w:val="28"/>
                <w:szCs w:val="28"/>
              </w:rPr>
              <w:t>Cent</w:t>
            </w:r>
            <w:r w:rsidR="00247AA6">
              <w:rPr>
                <w:b/>
                <w:bCs/>
                <w:sz w:val="28"/>
                <w:szCs w:val="28"/>
              </w:rPr>
              <w:t>e</w:t>
            </w:r>
            <w:r w:rsidR="00334184" w:rsidRPr="005A6B10">
              <w:rPr>
                <w:b/>
                <w:bCs/>
                <w:sz w:val="28"/>
                <w:szCs w:val="28"/>
              </w:rPr>
              <w:t>ring Experience, Confronting Racism: Transforming Healthcare Education</w:t>
            </w:r>
            <w:r w:rsidR="00334184" w:rsidRPr="002676FA">
              <w:rPr>
                <w:b/>
                <w:bCs/>
                <w:sz w:val="28"/>
                <w:szCs w:val="28"/>
              </w:rPr>
              <w:t>”</w:t>
            </w:r>
          </w:p>
          <w:p w14:paraId="65D50A93" w14:textId="2FAA0FF1" w:rsidR="00492048" w:rsidRPr="009D567E" w:rsidRDefault="00914315" w:rsidP="00BE31DD">
            <w:pPr>
              <w:pStyle w:val="NormalWeb"/>
              <w:shd w:val="clear" w:color="auto" w:fill="FFFFFF"/>
              <w:spacing w:before="0" w:beforeAutospacing="0" w:after="0" w:afterAutospacing="0" w:line="259" w:lineRule="auto"/>
              <w:rPr>
                <w:rFonts w:ascii="Aptos" w:hAnsi="Aptos"/>
                <w:color w:val="242424"/>
              </w:rPr>
            </w:pPr>
            <w:r>
              <w:rPr>
                <w:rFonts w:ascii="Aptos" w:hAnsi="Aptos"/>
                <w:color w:val="242424"/>
              </w:rPr>
              <w:lastRenderedPageBreak/>
              <w:t> </w:t>
            </w:r>
            <w:r w:rsidR="00B202D4" w:rsidRPr="005A6B10">
              <w:rPr>
                <w:rFonts w:ascii="Calibri" w:hAnsi="Calibri" w:cs="Calibri"/>
              </w:rPr>
              <w:t>Healthcare education must move beyond traditional assessment to address inequities and prepare future professionals for justice-oriented practice. This talk explores how anti-racist pedagogy and experience centred learning can reshape classrooms into spaces of equity, care, and critical engagement. Rooted in un</w:t>
            </w:r>
            <w:r w:rsidR="003F7E01">
              <w:rPr>
                <w:rFonts w:ascii="Calibri" w:hAnsi="Calibri" w:cs="Calibri"/>
              </w:rPr>
              <w:t>-</w:t>
            </w:r>
            <w:r w:rsidR="00B202D4" w:rsidRPr="005A6B10">
              <w:rPr>
                <w:rFonts w:ascii="Calibri" w:hAnsi="Calibri" w:cs="Calibri"/>
              </w:rPr>
              <w:t>grading, the approach prioritizes reflection, collaboration, and student agency over rigid evaluation that often reproduces systemic disadvantage. By centring lived experience, students connect theory to practice while examining racism as a determinant of health. Creative assignments foster deeper learning and validate diverse perspectives. These strategies are essential for meaningful transformation in healthcare education</w:t>
            </w:r>
            <w:r w:rsidR="00B202D4" w:rsidRPr="005A6B10">
              <w:t>.</w:t>
            </w:r>
          </w:p>
          <w:p w14:paraId="636F4C13" w14:textId="3D39B3A4" w:rsidR="00B202D4" w:rsidRPr="00914315" w:rsidRDefault="00B202D4" w:rsidP="00174B85">
            <w:pPr>
              <w:pStyle w:val="NormalWeb"/>
              <w:shd w:val="clear" w:color="auto" w:fill="FFFFFF"/>
              <w:spacing w:before="0" w:beforeAutospacing="0" w:after="0" w:afterAutospacing="0" w:line="259" w:lineRule="auto"/>
              <w:rPr>
                <w:rFonts w:asciiTheme="minorHAnsi" w:hAnsiTheme="minorHAnsi" w:cstheme="minorHAnsi"/>
                <w:color w:val="242424"/>
              </w:rPr>
            </w:pPr>
          </w:p>
        </w:tc>
      </w:tr>
      <w:tr w:rsidR="001D3057" w14:paraId="65100EE5" w14:textId="77777777" w:rsidTr="00A94567">
        <w:tc>
          <w:tcPr>
            <w:tcW w:w="2265" w:type="dxa"/>
            <w:tcBorders>
              <w:right w:val="nil"/>
            </w:tcBorders>
            <w:shd w:val="clear" w:color="auto" w:fill="9BC7CE" w:themeFill="accent5" w:themeFillTint="99"/>
          </w:tcPr>
          <w:p w14:paraId="73FEAF3D" w14:textId="77777777" w:rsidR="001D3057" w:rsidRPr="00E65C1B" w:rsidRDefault="001D3057" w:rsidP="006A0A9B">
            <w:pPr>
              <w:rPr>
                <w:b/>
                <w:bCs/>
                <w:sz w:val="26"/>
                <w:szCs w:val="26"/>
              </w:rPr>
            </w:pPr>
          </w:p>
        </w:tc>
        <w:tc>
          <w:tcPr>
            <w:tcW w:w="8445" w:type="dxa"/>
            <w:tcBorders>
              <w:left w:val="nil"/>
            </w:tcBorders>
            <w:shd w:val="clear" w:color="auto" w:fill="9BC7CE" w:themeFill="accent5" w:themeFillTint="99"/>
          </w:tcPr>
          <w:p w14:paraId="0C95ACBA" w14:textId="77777777" w:rsidR="001D3057" w:rsidRPr="006B64EB" w:rsidRDefault="001D3057" w:rsidP="005C3AA8">
            <w:pPr>
              <w:rPr>
                <w:rFonts w:cstheme="minorHAnsi"/>
                <w:b/>
                <w:bCs/>
                <w:sz w:val="24"/>
                <w:szCs w:val="24"/>
              </w:rPr>
            </w:pPr>
          </w:p>
        </w:tc>
      </w:tr>
      <w:tr w:rsidR="00A94567" w14:paraId="77DC6AD2" w14:textId="77777777" w:rsidTr="00A94567">
        <w:tc>
          <w:tcPr>
            <w:tcW w:w="2265" w:type="dxa"/>
            <w:tcBorders>
              <w:right w:val="nil"/>
            </w:tcBorders>
          </w:tcPr>
          <w:p w14:paraId="36403F21" w14:textId="77777777" w:rsidR="00A94567" w:rsidRDefault="00A94567" w:rsidP="006A0A9B">
            <w:pPr>
              <w:rPr>
                <w:b/>
                <w:bCs/>
                <w:sz w:val="26"/>
                <w:szCs w:val="26"/>
              </w:rPr>
            </w:pPr>
            <w:r>
              <w:rPr>
                <w:b/>
                <w:bCs/>
                <w:sz w:val="26"/>
                <w:szCs w:val="26"/>
              </w:rPr>
              <w:t xml:space="preserve">10:05 AM </w:t>
            </w:r>
          </w:p>
          <w:p w14:paraId="6CD7A8CD" w14:textId="6B5D0DDB" w:rsidR="00AD3F8C" w:rsidRPr="00E65C1B" w:rsidRDefault="00AD3F8C" w:rsidP="006A0A9B">
            <w:pPr>
              <w:rPr>
                <w:b/>
                <w:bCs/>
                <w:sz w:val="26"/>
                <w:szCs w:val="26"/>
              </w:rPr>
            </w:pPr>
          </w:p>
        </w:tc>
        <w:tc>
          <w:tcPr>
            <w:tcW w:w="8445" w:type="dxa"/>
            <w:tcBorders>
              <w:left w:val="nil"/>
            </w:tcBorders>
          </w:tcPr>
          <w:p w14:paraId="4D3F104E" w14:textId="1EAC6F8B" w:rsidR="00950508" w:rsidRDefault="00950508" w:rsidP="00950508">
            <w:pPr>
              <w:rPr>
                <w:b/>
                <w:bCs/>
                <w:sz w:val="28"/>
                <w:szCs w:val="28"/>
              </w:rPr>
            </w:pPr>
            <w:r w:rsidRPr="00B4261E">
              <w:rPr>
                <w:b/>
                <w:bCs/>
                <w:sz w:val="28"/>
                <w:szCs w:val="28"/>
              </w:rPr>
              <w:t>Xiaoyan Ma</w:t>
            </w:r>
            <w:r w:rsidR="00B4261E">
              <w:rPr>
                <w:b/>
                <w:bCs/>
                <w:sz w:val="28"/>
                <w:szCs w:val="28"/>
              </w:rPr>
              <w:t>,</w:t>
            </w:r>
            <w:r w:rsidRPr="00B4261E">
              <w:rPr>
                <w:b/>
                <w:bCs/>
                <w:sz w:val="28"/>
                <w:szCs w:val="28"/>
              </w:rPr>
              <w:t xml:space="preserve"> Virginia Polytechnic Institute and State University</w:t>
            </w:r>
            <w:r w:rsidR="00FC32CE">
              <w:rPr>
                <w:b/>
                <w:bCs/>
                <w:sz w:val="28"/>
                <w:szCs w:val="28"/>
              </w:rPr>
              <w:t>, U.S.</w:t>
            </w:r>
            <w:r w:rsidR="00537689">
              <w:rPr>
                <w:b/>
                <w:bCs/>
                <w:sz w:val="28"/>
                <w:szCs w:val="28"/>
              </w:rPr>
              <w:t>A.</w:t>
            </w:r>
          </w:p>
          <w:p w14:paraId="7CB3FEEC" w14:textId="77777777" w:rsidR="005E74F9" w:rsidRDefault="005E74F9" w:rsidP="00950508">
            <w:pPr>
              <w:rPr>
                <w:b/>
                <w:bCs/>
                <w:sz w:val="28"/>
                <w:szCs w:val="28"/>
              </w:rPr>
            </w:pPr>
          </w:p>
          <w:p w14:paraId="39A42C3A" w14:textId="5C4BC938" w:rsidR="00CF5A87" w:rsidRPr="00247AA6" w:rsidRDefault="005E74F9" w:rsidP="00950508">
            <w:pPr>
              <w:rPr>
                <w:rFonts w:cstheme="minorHAnsi"/>
                <w:b/>
                <w:bCs/>
                <w:sz w:val="28"/>
                <w:szCs w:val="28"/>
              </w:rPr>
            </w:pPr>
            <w:r w:rsidRPr="00247AA6">
              <w:rPr>
                <w:rFonts w:cstheme="minorHAnsi"/>
                <w:b/>
                <w:bCs/>
                <w:sz w:val="28"/>
                <w:szCs w:val="28"/>
              </w:rPr>
              <w:t>“Using GACSS, AI-Assisted Assessment Tool to Bridge Learning and Assessment”</w:t>
            </w:r>
          </w:p>
          <w:p w14:paraId="0B4F3D6A" w14:textId="77777777" w:rsidR="005E74F9" w:rsidRPr="00B4261E" w:rsidRDefault="005E74F9" w:rsidP="00950508">
            <w:pPr>
              <w:rPr>
                <w:b/>
                <w:bCs/>
                <w:sz w:val="28"/>
                <w:szCs w:val="28"/>
              </w:rPr>
            </w:pPr>
          </w:p>
          <w:p w14:paraId="358E9A3B" w14:textId="71C81E0B" w:rsidR="00950508" w:rsidRPr="008F75A9" w:rsidRDefault="008F75A9" w:rsidP="008F75A9">
            <w:pPr>
              <w:spacing w:line="259" w:lineRule="auto"/>
              <w:rPr>
                <w:sz w:val="24"/>
                <w:szCs w:val="24"/>
              </w:rPr>
            </w:pPr>
            <w:r>
              <w:rPr>
                <w:sz w:val="24"/>
                <w:szCs w:val="24"/>
              </w:rPr>
              <w:t>T</w:t>
            </w:r>
            <w:r w:rsidR="00950508" w:rsidRPr="008F75A9">
              <w:rPr>
                <w:sz w:val="24"/>
                <w:szCs w:val="24"/>
              </w:rPr>
              <w:t>raditional assessment methods often fall short in measuring and developing real-world readiness. This session explores the potential of alternative assessments, focusing on using AI-enhanced strategies to foster authentic, dynamic learning.</w:t>
            </w:r>
          </w:p>
          <w:p w14:paraId="64E4A63B" w14:textId="09C7FA76" w:rsidR="00950508" w:rsidRPr="008F75A9" w:rsidRDefault="00950508" w:rsidP="008F75A9">
            <w:pPr>
              <w:spacing w:line="259" w:lineRule="auto"/>
              <w:rPr>
                <w:sz w:val="24"/>
                <w:szCs w:val="24"/>
              </w:rPr>
            </w:pPr>
            <w:r w:rsidRPr="008F75A9">
              <w:rPr>
                <w:sz w:val="24"/>
                <w:szCs w:val="24"/>
              </w:rPr>
              <w:t>An intentional design of Gen AI Clinical Stakeholder Simulation (GACSS) integrates prompt engineering to create realistic persona-driven conversations. In these simulations, students engage in dialogue with AI-generated stakeholders, responding to complex questions, gathering contextual data, and demonstrating professional reasoning in real time.</w:t>
            </w:r>
            <w:r w:rsidR="00721555">
              <w:rPr>
                <w:sz w:val="24"/>
                <w:szCs w:val="24"/>
              </w:rPr>
              <w:t xml:space="preserve"> </w:t>
            </w:r>
            <w:r w:rsidRPr="008F75A9">
              <w:rPr>
                <w:sz w:val="24"/>
                <w:szCs w:val="24"/>
              </w:rPr>
              <w:t>GACSS shows how AI can be used ethically and strategically to design robust, measurable, and scalable assessments aligned with cognitive science and competency-based education. The session will guide participants through practical approaches to framing assessments not just as evaluations of learning, but as a tool for authentic learning which reinforces feedback, reflection, and higher-order thinking. Actionable ideas will be discussed regarding integrating similar assessments into participants’ programs to meet both pedagogical and accreditation demands.</w:t>
            </w:r>
          </w:p>
          <w:p w14:paraId="2873A70D" w14:textId="77777777" w:rsidR="00A94567" w:rsidRPr="006B64EB" w:rsidRDefault="00A94567" w:rsidP="00950508">
            <w:pPr>
              <w:rPr>
                <w:rFonts w:cstheme="minorHAnsi"/>
                <w:b/>
                <w:bCs/>
                <w:sz w:val="24"/>
                <w:szCs w:val="24"/>
              </w:rPr>
            </w:pPr>
          </w:p>
        </w:tc>
      </w:tr>
      <w:tr w:rsidR="002A5505" w14:paraId="71E2BCDD" w14:textId="77777777" w:rsidTr="002A5505">
        <w:tc>
          <w:tcPr>
            <w:tcW w:w="2265" w:type="dxa"/>
            <w:tcBorders>
              <w:right w:val="nil"/>
            </w:tcBorders>
            <w:shd w:val="clear" w:color="auto" w:fill="9BC7CE" w:themeFill="accent5" w:themeFillTint="99"/>
          </w:tcPr>
          <w:p w14:paraId="51F844FF" w14:textId="77777777" w:rsidR="002A5505" w:rsidRDefault="002A5505" w:rsidP="006A0A9B">
            <w:pPr>
              <w:rPr>
                <w:b/>
                <w:bCs/>
                <w:sz w:val="26"/>
                <w:szCs w:val="26"/>
              </w:rPr>
            </w:pPr>
          </w:p>
        </w:tc>
        <w:tc>
          <w:tcPr>
            <w:tcW w:w="8445" w:type="dxa"/>
            <w:tcBorders>
              <w:left w:val="nil"/>
            </w:tcBorders>
            <w:shd w:val="clear" w:color="auto" w:fill="9BC7CE" w:themeFill="accent5" w:themeFillTint="99"/>
          </w:tcPr>
          <w:p w14:paraId="3C7BBBDC" w14:textId="77777777" w:rsidR="002A5505" w:rsidRDefault="002A5505" w:rsidP="005C3AA8">
            <w:pPr>
              <w:rPr>
                <w:rFonts w:cstheme="minorHAnsi"/>
                <w:b/>
                <w:bCs/>
                <w:sz w:val="24"/>
                <w:szCs w:val="24"/>
              </w:rPr>
            </w:pPr>
          </w:p>
        </w:tc>
      </w:tr>
      <w:tr w:rsidR="002A5505" w14:paraId="262A1853" w14:textId="77777777" w:rsidTr="002A5505">
        <w:tc>
          <w:tcPr>
            <w:tcW w:w="2265" w:type="dxa"/>
            <w:tcBorders>
              <w:right w:val="nil"/>
            </w:tcBorders>
            <w:shd w:val="clear" w:color="auto" w:fill="FFFFFF" w:themeFill="background1"/>
          </w:tcPr>
          <w:p w14:paraId="2E421D29" w14:textId="2B1B802C" w:rsidR="002A5505" w:rsidRDefault="00E80BDF" w:rsidP="006A0A9B">
            <w:pPr>
              <w:rPr>
                <w:b/>
                <w:bCs/>
                <w:sz w:val="26"/>
                <w:szCs w:val="26"/>
              </w:rPr>
            </w:pPr>
            <w:r>
              <w:rPr>
                <w:b/>
                <w:bCs/>
                <w:sz w:val="26"/>
                <w:szCs w:val="26"/>
              </w:rPr>
              <w:t>10:</w:t>
            </w:r>
            <w:r w:rsidR="009E7877">
              <w:rPr>
                <w:b/>
                <w:bCs/>
                <w:sz w:val="26"/>
                <w:szCs w:val="26"/>
              </w:rPr>
              <w:t>30</w:t>
            </w:r>
            <w:r w:rsidR="0098491E">
              <w:rPr>
                <w:b/>
                <w:bCs/>
                <w:sz w:val="26"/>
                <w:szCs w:val="26"/>
              </w:rPr>
              <w:t xml:space="preserve"> AM</w:t>
            </w:r>
          </w:p>
          <w:p w14:paraId="26F1F3C0" w14:textId="64D1851A" w:rsidR="00E80BDF" w:rsidRDefault="00E80BDF" w:rsidP="006A0A9B">
            <w:pPr>
              <w:rPr>
                <w:b/>
                <w:bCs/>
                <w:sz w:val="26"/>
                <w:szCs w:val="26"/>
              </w:rPr>
            </w:pPr>
            <w:r>
              <w:rPr>
                <w:rFonts w:cstheme="minorHAnsi"/>
                <w:b/>
                <w:bCs/>
                <w:sz w:val="26"/>
                <w:szCs w:val="26"/>
              </w:rPr>
              <w:t>PRESENTATION</w:t>
            </w:r>
          </w:p>
        </w:tc>
        <w:tc>
          <w:tcPr>
            <w:tcW w:w="8445" w:type="dxa"/>
            <w:tcBorders>
              <w:left w:val="nil"/>
            </w:tcBorders>
            <w:shd w:val="clear" w:color="auto" w:fill="FFFFFF" w:themeFill="background1"/>
          </w:tcPr>
          <w:p w14:paraId="61B20C4E" w14:textId="4CAD9523" w:rsidR="00DA435A" w:rsidRDefault="002A5505" w:rsidP="00DA435A">
            <w:pPr>
              <w:rPr>
                <w:rFonts w:cstheme="minorHAnsi"/>
                <w:b/>
                <w:bCs/>
                <w:color w:val="434343"/>
                <w:sz w:val="28"/>
                <w:szCs w:val="28"/>
              </w:rPr>
            </w:pPr>
            <w:r>
              <w:rPr>
                <w:rFonts w:cstheme="minorHAnsi"/>
                <w:b/>
                <w:bCs/>
                <w:sz w:val="24"/>
                <w:szCs w:val="24"/>
              </w:rPr>
              <w:t xml:space="preserve"> </w:t>
            </w:r>
            <w:r w:rsidR="00FC32CE" w:rsidRPr="00FC32CE">
              <w:rPr>
                <w:rFonts w:cstheme="minorHAnsi"/>
                <w:b/>
                <w:bCs/>
                <w:color w:val="434343"/>
                <w:sz w:val="28"/>
                <w:szCs w:val="28"/>
              </w:rPr>
              <w:t xml:space="preserve">Claire Hay </w:t>
            </w:r>
            <w:r w:rsidR="00FC32CE">
              <w:rPr>
                <w:rFonts w:cstheme="minorHAnsi"/>
                <w:b/>
                <w:bCs/>
                <w:color w:val="434343"/>
                <w:sz w:val="28"/>
                <w:szCs w:val="28"/>
              </w:rPr>
              <w:t xml:space="preserve">and </w:t>
            </w:r>
            <w:r w:rsidR="00DA435A" w:rsidRPr="00FC32CE">
              <w:rPr>
                <w:rFonts w:cstheme="minorHAnsi"/>
                <w:b/>
                <w:bCs/>
                <w:color w:val="434343"/>
                <w:sz w:val="28"/>
                <w:szCs w:val="28"/>
              </w:rPr>
              <w:t>Devon McLellan, University of the Fraser Valley</w:t>
            </w:r>
            <w:r w:rsidR="00537689">
              <w:rPr>
                <w:rFonts w:cstheme="minorHAnsi"/>
                <w:b/>
                <w:bCs/>
                <w:color w:val="434343"/>
                <w:sz w:val="28"/>
                <w:szCs w:val="28"/>
              </w:rPr>
              <w:t>, Canada</w:t>
            </w:r>
          </w:p>
          <w:p w14:paraId="67766782" w14:textId="77777777" w:rsidR="005C04D0" w:rsidRDefault="005C04D0" w:rsidP="00DA435A">
            <w:pPr>
              <w:rPr>
                <w:rFonts w:cstheme="minorHAnsi"/>
                <w:b/>
                <w:bCs/>
                <w:color w:val="434343"/>
                <w:sz w:val="28"/>
                <w:szCs w:val="28"/>
              </w:rPr>
            </w:pPr>
          </w:p>
          <w:p w14:paraId="2BE55B69" w14:textId="35826C02" w:rsidR="005C04D0" w:rsidRPr="00FC32CE" w:rsidRDefault="005C04D0" w:rsidP="00DA435A">
            <w:pPr>
              <w:rPr>
                <w:rFonts w:cstheme="minorHAnsi"/>
                <w:b/>
                <w:bCs/>
                <w:sz w:val="28"/>
                <w:szCs w:val="28"/>
              </w:rPr>
            </w:pPr>
            <w:r>
              <w:rPr>
                <w:rFonts w:cstheme="minorHAnsi"/>
                <w:b/>
                <w:bCs/>
                <w:color w:val="434343"/>
                <w:sz w:val="28"/>
                <w:szCs w:val="28"/>
              </w:rPr>
              <w:t xml:space="preserve">“Application-based Assessments” </w:t>
            </w:r>
          </w:p>
          <w:p w14:paraId="2B20D8CE" w14:textId="6379C61F" w:rsidR="002A5505" w:rsidRPr="00BE586A" w:rsidRDefault="00DA435A" w:rsidP="00BE586A">
            <w:pPr>
              <w:spacing w:line="259" w:lineRule="auto"/>
            </w:pPr>
            <w:r>
              <w:rPr>
                <w:rFonts w:ascii="Roboto" w:hAnsi="Roboto"/>
                <w:color w:val="434343"/>
                <w:sz w:val="20"/>
                <w:szCs w:val="20"/>
              </w:rPr>
              <w:br/>
            </w:r>
            <w:r w:rsidRPr="00537689">
              <w:rPr>
                <w:rFonts w:cstheme="minorHAnsi"/>
                <w:sz w:val="24"/>
                <w:szCs w:val="24"/>
              </w:rPr>
              <w:t xml:space="preserve">Pharmacology and medication administration is an area of nursing practice that is a source of anxiety for many students. It is also high risk, requiring care and vigilance to prevent potentially life-threatening errors. At our institution, students complete this 2-credit course in semester one while simultaneously completing anatomy and physiology and before taking pathophysiology. This sequence amplifies student </w:t>
            </w:r>
            <w:r w:rsidRPr="00537689">
              <w:rPr>
                <w:rFonts w:cstheme="minorHAnsi"/>
                <w:sz w:val="24"/>
                <w:szCs w:val="24"/>
              </w:rPr>
              <w:lastRenderedPageBreak/>
              <w:t xml:space="preserve">anxiety and impacts </w:t>
            </w:r>
            <w:r w:rsidR="00BE586A">
              <w:rPr>
                <w:rFonts w:cstheme="minorHAnsi"/>
                <w:sz w:val="24"/>
                <w:szCs w:val="24"/>
              </w:rPr>
              <w:t xml:space="preserve">their </w:t>
            </w:r>
            <w:r w:rsidRPr="00537689">
              <w:rPr>
                <w:rFonts w:cstheme="minorHAnsi"/>
                <w:sz w:val="24"/>
                <w:szCs w:val="24"/>
              </w:rPr>
              <w:t xml:space="preserve">likelihood of success. Recognizing this challenge, assignments were redesigned from rote memorization of medication information to making meaningful preparation for the clinical setting. Reimagined assignments focused instead on developing skills to support present and future needs. </w:t>
            </w:r>
            <w:r w:rsidR="00BE586A">
              <w:rPr>
                <w:rFonts w:cstheme="minorHAnsi"/>
                <w:sz w:val="24"/>
                <w:szCs w:val="24"/>
              </w:rPr>
              <w:t>Three</w:t>
            </w:r>
            <w:r w:rsidRPr="00537689">
              <w:rPr>
                <w:rFonts w:cstheme="minorHAnsi"/>
                <w:sz w:val="24"/>
                <w:szCs w:val="24"/>
              </w:rPr>
              <w:t xml:space="preserve"> </w:t>
            </w:r>
            <w:r w:rsidR="00435F29">
              <w:rPr>
                <w:rFonts w:cstheme="minorHAnsi"/>
                <w:sz w:val="24"/>
                <w:szCs w:val="24"/>
              </w:rPr>
              <w:t xml:space="preserve">new </w:t>
            </w:r>
            <w:r w:rsidRPr="00537689">
              <w:rPr>
                <w:rFonts w:cstheme="minorHAnsi"/>
                <w:sz w:val="24"/>
                <w:szCs w:val="24"/>
              </w:rPr>
              <w:t>assignments were created</w:t>
            </w:r>
            <w:r w:rsidR="00435F29">
              <w:rPr>
                <w:rFonts w:cstheme="minorHAnsi"/>
                <w:sz w:val="24"/>
                <w:szCs w:val="24"/>
              </w:rPr>
              <w:t>.</w:t>
            </w:r>
            <w:r w:rsidRPr="00537689">
              <w:rPr>
                <w:rFonts w:cstheme="minorHAnsi"/>
                <w:sz w:val="24"/>
                <w:szCs w:val="24"/>
              </w:rPr>
              <w:t xml:space="preserve"> </w:t>
            </w:r>
            <w:r w:rsidRPr="00BE586A">
              <w:rPr>
                <w:rFonts w:cstheme="minorHAnsi"/>
                <w:sz w:val="24"/>
                <w:szCs w:val="24"/>
              </w:rPr>
              <w:t xml:space="preserve">Peer feedback and self-assessment </w:t>
            </w:r>
            <w:r w:rsidR="00491C1E" w:rsidRPr="00BE586A">
              <w:rPr>
                <w:rFonts w:cstheme="minorHAnsi"/>
                <w:sz w:val="24"/>
                <w:szCs w:val="24"/>
              </w:rPr>
              <w:t>support</w:t>
            </w:r>
            <w:r w:rsidRPr="00BE586A">
              <w:rPr>
                <w:rFonts w:cstheme="minorHAnsi"/>
                <w:sz w:val="24"/>
                <w:szCs w:val="24"/>
              </w:rPr>
              <w:t xml:space="preserve"> instructor evaluation in these assessments. The final exam has also been modified to a series of application-style case studies where drug information is provided. </w:t>
            </w:r>
            <w:r w:rsidR="00435F29">
              <w:rPr>
                <w:rFonts w:cstheme="minorHAnsi"/>
                <w:sz w:val="24"/>
                <w:szCs w:val="24"/>
              </w:rPr>
              <w:t>T</w:t>
            </w:r>
            <w:r w:rsidRPr="00BE586A">
              <w:rPr>
                <w:rFonts w:cstheme="minorHAnsi"/>
                <w:sz w:val="24"/>
                <w:szCs w:val="24"/>
              </w:rPr>
              <w:t xml:space="preserve">his </w:t>
            </w:r>
            <w:r w:rsidR="002B70B7">
              <w:rPr>
                <w:rFonts w:cstheme="minorHAnsi"/>
                <w:sz w:val="24"/>
                <w:szCs w:val="24"/>
              </w:rPr>
              <w:t xml:space="preserve">presentation will show how these assessments </w:t>
            </w:r>
            <w:r w:rsidR="00874AFF">
              <w:rPr>
                <w:rFonts w:cstheme="minorHAnsi"/>
                <w:sz w:val="24"/>
                <w:szCs w:val="24"/>
              </w:rPr>
              <w:t xml:space="preserve">lay </w:t>
            </w:r>
            <w:r w:rsidRPr="00BE586A">
              <w:rPr>
                <w:rFonts w:cstheme="minorHAnsi"/>
                <w:sz w:val="24"/>
                <w:szCs w:val="24"/>
              </w:rPr>
              <w:t>a strong foundation for safe medication administration in the clinical setting</w:t>
            </w:r>
            <w:r w:rsidR="00874AFF">
              <w:rPr>
                <w:rFonts w:cstheme="minorHAnsi"/>
                <w:sz w:val="24"/>
                <w:szCs w:val="24"/>
              </w:rPr>
              <w:t>.</w:t>
            </w:r>
            <w:r w:rsidRPr="00BE586A">
              <w:rPr>
                <w:rFonts w:cstheme="minorHAnsi"/>
                <w:sz w:val="24"/>
                <w:szCs w:val="24"/>
              </w:rPr>
              <w:br/>
            </w:r>
          </w:p>
        </w:tc>
      </w:tr>
      <w:tr w:rsidR="00B4287D" w14:paraId="4B70E22E" w14:textId="77777777" w:rsidTr="00A94567">
        <w:tc>
          <w:tcPr>
            <w:tcW w:w="2265" w:type="dxa"/>
            <w:tcBorders>
              <w:right w:val="nil"/>
            </w:tcBorders>
          </w:tcPr>
          <w:p w14:paraId="48536100" w14:textId="22751E69" w:rsidR="00B4287D" w:rsidRDefault="00B202D4" w:rsidP="00492048">
            <w:pPr>
              <w:rPr>
                <w:rFonts w:cstheme="minorHAnsi"/>
                <w:b/>
                <w:bCs/>
                <w:sz w:val="26"/>
                <w:szCs w:val="26"/>
              </w:rPr>
            </w:pPr>
            <w:r>
              <w:rPr>
                <w:rFonts w:cstheme="minorHAnsi"/>
                <w:b/>
                <w:bCs/>
                <w:sz w:val="26"/>
                <w:szCs w:val="26"/>
              </w:rPr>
              <w:lastRenderedPageBreak/>
              <w:t>10</w:t>
            </w:r>
            <w:r w:rsidR="009073A3">
              <w:rPr>
                <w:rFonts w:cstheme="minorHAnsi"/>
                <w:b/>
                <w:bCs/>
                <w:sz w:val="26"/>
                <w:szCs w:val="26"/>
              </w:rPr>
              <w:t>:</w:t>
            </w:r>
            <w:r w:rsidR="00564A32">
              <w:rPr>
                <w:rFonts w:cstheme="minorHAnsi"/>
                <w:b/>
                <w:bCs/>
                <w:sz w:val="26"/>
                <w:szCs w:val="26"/>
              </w:rPr>
              <w:t>5</w:t>
            </w:r>
            <w:r>
              <w:rPr>
                <w:rFonts w:cstheme="minorHAnsi"/>
                <w:b/>
                <w:bCs/>
                <w:sz w:val="26"/>
                <w:szCs w:val="26"/>
              </w:rPr>
              <w:t>5</w:t>
            </w:r>
            <w:r w:rsidR="009073A3">
              <w:rPr>
                <w:rFonts w:cstheme="minorHAnsi"/>
                <w:b/>
                <w:bCs/>
                <w:sz w:val="26"/>
                <w:szCs w:val="26"/>
              </w:rPr>
              <w:t xml:space="preserve"> </w:t>
            </w:r>
            <w:r>
              <w:rPr>
                <w:rFonts w:cstheme="minorHAnsi"/>
                <w:b/>
                <w:bCs/>
                <w:sz w:val="26"/>
                <w:szCs w:val="26"/>
              </w:rPr>
              <w:t>AM</w:t>
            </w:r>
          </w:p>
          <w:p w14:paraId="092C818D" w14:textId="06B62538" w:rsidR="00344651" w:rsidRPr="0002061A" w:rsidRDefault="00344651" w:rsidP="00492048">
            <w:pPr>
              <w:rPr>
                <w:rFonts w:cstheme="minorHAnsi"/>
                <w:b/>
                <w:bCs/>
                <w:sz w:val="26"/>
                <w:szCs w:val="26"/>
              </w:rPr>
            </w:pPr>
            <w:r>
              <w:rPr>
                <w:rFonts w:cstheme="minorHAnsi"/>
                <w:b/>
                <w:bCs/>
                <w:sz w:val="26"/>
                <w:szCs w:val="26"/>
              </w:rPr>
              <w:t>PRESENTATION</w:t>
            </w:r>
          </w:p>
        </w:tc>
        <w:tc>
          <w:tcPr>
            <w:tcW w:w="8445" w:type="dxa"/>
            <w:tcBorders>
              <w:left w:val="nil"/>
            </w:tcBorders>
          </w:tcPr>
          <w:p w14:paraId="07803CCA" w14:textId="269F26F9" w:rsidR="007A4C94" w:rsidRPr="002676FA" w:rsidRDefault="00266E88" w:rsidP="007A4C94">
            <w:pPr>
              <w:rPr>
                <w:b/>
                <w:bCs/>
                <w:sz w:val="28"/>
                <w:szCs w:val="28"/>
              </w:rPr>
            </w:pPr>
            <w:r w:rsidRPr="002676FA">
              <w:rPr>
                <w:b/>
                <w:bCs/>
                <w:sz w:val="28"/>
                <w:szCs w:val="28"/>
              </w:rPr>
              <w:t>Tracy Christianson</w:t>
            </w:r>
            <w:r w:rsidR="007A4C94" w:rsidRPr="002676FA">
              <w:rPr>
                <w:b/>
                <w:bCs/>
                <w:sz w:val="28"/>
                <w:szCs w:val="28"/>
              </w:rPr>
              <w:t>,</w:t>
            </w:r>
            <w:r w:rsidRPr="002676FA">
              <w:rPr>
                <w:b/>
                <w:bCs/>
                <w:sz w:val="28"/>
                <w:szCs w:val="28"/>
              </w:rPr>
              <w:t xml:space="preserve"> </w:t>
            </w:r>
            <w:r w:rsidR="007A4C94" w:rsidRPr="002676FA">
              <w:rPr>
                <w:b/>
                <w:bCs/>
                <w:sz w:val="28"/>
                <w:szCs w:val="28"/>
              </w:rPr>
              <w:t>Thompson Rivers University, Canada</w:t>
            </w:r>
          </w:p>
          <w:p w14:paraId="6A3F24D4" w14:textId="77777777" w:rsidR="00E90B07" w:rsidRPr="002676FA" w:rsidRDefault="00E90B07" w:rsidP="007A4C94">
            <w:pPr>
              <w:rPr>
                <w:b/>
                <w:bCs/>
                <w:sz w:val="28"/>
                <w:szCs w:val="28"/>
              </w:rPr>
            </w:pPr>
          </w:p>
          <w:p w14:paraId="2D6AACD4" w14:textId="51D2917B" w:rsidR="00A94567" w:rsidRPr="002676FA" w:rsidRDefault="00A94567" w:rsidP="007A4C94">
            <w:pPr>
              <w:rPr>
                <w:b/>
                <w:bCs/>
                <w:sz w:val="28"/>
                <w:szCs w:val="28"/>
              </w:rPr>
            </w:pPr>
            <w:r w:rsidRPr="002676FA">
              <w:rPr>
                <w:b/>
                <w:bCs/>
                <w:sz w:val="28"/>
                <w:szCs w:val="28"/>
              </w:rPr>
              <w:t>“</w:t>
            </w:r>
            <w:r w:rsidR="00E90B07" w:rsidRPr="002676FA">
              <w:rPr>
                <w:b/>
                <w:bCs/>
                <w:sz w:val="28"/>
                <w:szCs w:val="28"/>
              </w:rPr>
              <w:t xml:space="preserve">Collaborative </w:t>
            </w:r>
            <w:r w:rsidR="00564A32" w:rsidRPr="002676FA">
              <w:rPr>
                <w:b/>
                <w:bCs/>
                <w:sz w:val="28"/>
                <w:szCs w:val="28"/>
              </w:rPr>
              <w:t>Quizzing</w:t>
            </w:r>
            <w:r w:rsidR="00E90B07" w:rsidRPr="002676FA">
              <w:rPr>
                <w:b/>
                <w:bCs/>
                <w:sz w:val="28"/>
                <w:szCs w:val="28"/>
              </w:rPr>
              <w:t xml:space="preserve"> for </w:t>
            </w:r>
            <w:r w:rsidR="00564A32" w:rsidRPr="002676FA">
              <w:rPr>
                <w:b/>
                <w:bCs/>
                <w:sz w:val="28"/>
                <w:szCs w:val="28"/>
              </w:rPr>
              <w:t>D</w:t>
            </w:r>
            <w:r w:rsidR="00E90B07" w:rsidRPr="002676FA">
              <w:rPr>
                <w:b/>
                <w:bCs/>
                <w:sz w:val="28"/>
                <w:szCs w:val="28"/>
              </w:rPr>
              <w:t xml:space="preserve">eeper </w:t>
            </w:r>
            <w:r w:rsidR="00564A32" w:rsidRPr="002676FA">
              <w:rPr>
                <w:b/>
                <w:bCs/>
                <w:sz w:val="28"/>
                <w:szCs w:val="28"/>
              </w:rPr>
              <w:t>Understanding</w:t>
            </w:r>
            <w:r w:rsidR="00E90B07" w:rsidRPr="002676FA">
              <w:rPr>
                <w:b/>
                <w:bCs/>
                <w:sz w:val="28"/>
                <w:szCs w:val="28"/>
              </w:rPr>
              <w:t xml:space="preserve">” </w:t>
            </w:r>
          </w:p>
          <w:p w14:paraId="0D528562" w14:textId="5DA8B738" w:rsidR="00B202D4" w:rsidRPr="00BE31DD" w:rsidRDefault="00B202D4" w:rsidP="00B202D4">
            <w:pPr>
              <w:rPr>
                <w:sz w:val="24"/>
                <w:szCs w:val="24"/>
              </w:rPr>
            </w:pPr>
          </w:p>
          <w:p w14:paraId="4FC7A3CF" w14:textId="2C543A70" w:rsidR="00344651" w:rsidRPr="00BE31DD" w:rsidRDefault="00344E56" w:rsidP="00344E56">
            <w:pPr>
              <w:spacing w:line="259" w:lineRule="auto"/>
              <w:rPr>
                <w:sz w:val="24"/>
                <w:szCs w:val="24"/>
              </w:rPr>
            </w:pPr>
            <w:r w:rsidRPr="00BE31DD">
              <w:rPr>
                <w:sz w:val="24"/>
                <w:szCs w:val="24"/>
              </w:rPr>
              <w:t xml:space="preserve">Collaborative quizzing is an innovative assessment strategy that enhances learning in undergraduate nursing education by combining peer interaction with formative evaluation. </w:t>
            </w:r>
            <w:r w:rsidR="002A5505">
              <w:rPr>
                <w:sz w:val="24"/>
                <w:szCs w:val="24"/>
              </w:rPr>
              <w:t>S</w:t>
            </w:r>
            <w:r w:rsidRPr="00BE31DD">
              <w:rPr>
                <w:sz w:val="24"/>
                <w:szCs w:val="24"/>
              </w:rPr>
              <w:t xml:space="preserve">tudents </w:t>
            </w:r>
            <w:r w:rsidR="002A5505">
              <w:rPr>
                <w:sz w:val="24"/>
                <w:szCs w:val="24"/>
              </w:rPr>
              <w:t xml:space="preserve">will </w:t>
            </w:r>
            <w:r w:rsidRPr="00BE31DD">
              <w:rPr>
                <w:sz w:val="24"/>
                <w:szCs w:val="24"/>
              </w:rPr>
              <w:t>complete quizzes in small groups, engag</w:t>
            </w:r>
            <w:r w:rsidR="002A5505">
              <w:rPr>
                <w:sz w:val="24"/>
                <w:szCs w:val="24"/>
              </w:rPr>
              <w:t>e</w:t>
            </w:r>
            <w:r w:rsidRPr="00BE31DD">
              <w:rPr>
                <w:sz w:val="24"/>
                <w:szCs w:val="24"/>
              </w:rPr>
              <w:t xml:space="preserve"> in discussion, debate and consensus-building to answer questions. This method promotes deeper understanding of course content, reinforces critical thinking, and fosters teamwork—key competencies in nursing practice. Collaborative quizzing also reduces test anxiety and encourages active learning, allowing students to learn from one another while applying theoretical knowledge in a supportive environment. Reflective debriefs following the quiz further strengthen metacognitive skills and self-awareness.</w:t>
            </w:r>
            <w:r w:rsidR="002A5505">
              <w:rPr>
                <w:sz w:val="24"/>
                <w:szCs w:val="24"/>
              </w:rPr>
              <w:t xml:space="preserve"> </w:t>
            </w:r>
            <w:r w:rsidRPr="00BE31DD">
              <w:rPr>
                <w:sz w:val="24"/>
                <w:szCs w:val="24"/>
              </w:rPr>
              <w:t>This presentation describes the collaborative quizzing technique and highlights its benefits to student learning, including improved engagement, communication, and clinical reasoning.</w:t>
            </w:r>
          </w:p>
          <w:p w14:paraId="0B72BAB1" w14:textId="06334418" w:rsidR="00344E56" w:rsidRPr="00BE31DD" w:rsidRDefault="00344E56" w:rsidP="00344E56">
            <w:pPr>
              <w:rPr>
                <w:sz w:val="24"/>
                <w:szCs w:val="24"/>
              </w:rPr>
            </w:pPr>
          </w:p>
        </w:tc>
      </w:tr>
      <w:tr w:rsidR="00D2766F" w14:paraId="5B1BEF85" w14:textId="77777777" w:rsidTr="00A94567">
        <w:tc>
          <w:tcPr>
            <w:tcW w:w="2265" w:type="dxa"/>
            <w:tcBorders>
              <w:bottom w:val="single" w:sz="4" w:space="0" w:color="auto"/>
              <w:right w:val="nil"/>
            </w:tcBorders>
            <w:shd w:val="clear" w:color="auto" w:fill="9BC7CE" w:themeFill="accent5" w:themeFillTint="99"/>
          </w:tcPr>
          <w:p w14:paraId="03EF70B7" w14:textId="77777777" w:rsidR="00D2766F" w:rsidRDefault="00D2766F" w:rsidP="0011532A">
            <w:pPr>
              <w:rPr>
                <w:rFonts w:cstheme="minorHAnsi"/>
                <w:b/>
                <w:bCs/>
                <w:sz w:val="28"/>
                <w:szCs w:val="28"/>
              </w:rPr>
            </w:pPr>
          </w:p>
        </w:tc>
        <w:tc>
          <w:tcPr>
            <w:tcW w:w="8445" w:type="dxa"/>
            <w:tcBorders>
              <w:left w:val="nil"/>
            </w:tcBorders>
            <w:shd w:val="clear" w:color="auto" w:fill="9BC7CE" w:themeFill="accent5" w:themeFillTint="99"/>
          </w:tcPr>
          <w:p w14:paraId="13C3D701" w14:textId="503043C0" w:rsidR="0002061A" w:rsidRPr="0002061A" w:rsidRDefault="0002061A" w:rsidP="00142B2C">
            <w:pPr>
              <w:textAlignment w:val="baseline"/>
              <w:rPr>
                <w:rFonts w:eastAsia="Times New Roman"/>
                <w:color w:val="242424"/>
                <w:lang w:val="en-US"/>
              </w:rPr>
            </w:pPr>
          </w:p>
        </w:tc>
      </w:tr>
      <w:tr w:rsidR="0011532A" w14:paraId="3FD7FB88" w14:textId="77777777" w:rsidTr="00A94567">
        <w:tc>
          <w:tcPr>
            <w:tcW w:w="2265" w:type="dxa"/>
            <w:tcBorders>
              <w:bottom w:val="single" w:sz="4" w:space="0" w:color="auto"/>
              <w:right w:val="nil"/>
            </w:tcBorders>
          </w:tcPr>
          <w:p w14:paraId="6D96DE7E" w14:textId="00110CB0" w:rsidR="0025285D" w:rsidRPr="00BE2129" w:rsidRDefault="00B202D4" w:rsidP="0011532A">
            <w:pPr>
              <w:rPr>
                <w:rFonts w:cstheme="minorHAnsi"/>
                <w:b/>
                <w:bCs/>
                <w:sz w:val="26"/>
                <w:szCs w:val="26"/>
              </w:rPr>
            </w:pPr>
            <w:r>
              <w:rPr>
                <w:rFonts w:cstheme="minorHAnsi"/>
                <w:b/>
                <w:bCs/>
                <w:sz w:val="26"/>
                <w:szCs w:val="26"/>
              </w:rPr>
              <w:t>1</w:t>
            </w:r>
            <w:r w:rsidR="00564A32">
              <w:rPr>
                <w:rFonts w:cstheme="minorHAnsi"/>
                <w:b/>
                <w:bCs/>
                <w:sz w:val="26"/>
                <w:szCs w:val="26"/>
              </w:rPr>
              <w:t>1</w:t>
            </w:r>
            <w:r>
              <w:rPr>
                <w:rFonts w:cstheme="minorHAnsi"/>
                <w:b/>
                <w:bCs/>
                <w:sz w:val="26"/>
                <w:szCs w:val="26"/>
              </w:rPr>
              <w:t>:</w:t>
            </w:r>
            <w:r w:rsidR="00564A32">
              <w:rPr>
                <w:rFonts w:cstheme="minorHAnsi"/>
                <w:b/>
                <w:bCs/>
                <w:sz w:val="26"/>
                <w:szCs w:val="26"/>
              </w:rPr>
              <w:t>1</w:t>
            </w:r>
            <w:r>
              <w:rPr>
                <w:rFonts w:cstheme="minorHAnsi"/>
                <w:b/>
                <w:bCs/>
                <w:sz w:val="26"/>
                <w:szCs w:val="26"/>
              </w:rPr>
              <w:t>5</w:t>
            </w:r>
            <w:r w:rsidR="00564A32">
              <w:rPr>
                <w:rFonts w:cstheme="minorHAnsi"/>
                <w:b/>
                <w:bCs/>
                <w:sz w:val="26"/>
                <w:szCs w:val="26"/>
              </w:rPr>
              <w:t xml:space="preserve"> AM</w:t>
            </w:r>
            <w:r w:rsidR="00B00217">
              <w:rPr>
                <w:rFonts w:cstheme="minorHAnsi"/>
                <w:b/>
                <w:bCs/>
                <w:sz w:val="26"/>
                <w:szCs w:val="26"/>
              </w:rPr>
              <w:t xml:space="preserve"> </w:t>
            </w:r>
            <w:r w:rsidR="0025285D" w:rsidRPr="001C188E">
              <w:rPr>
                <w:rFonts w:cstheme="minorHAnsi"/>
                <w:b/>
                <w:bCs/>
                <w:sz w:val="26"/>
                <w:szCs w:val="26"/>
              </w:rPr>
              <w:t>PRESENTATION</w:t>
            </w:r>
          </w:p>
        </w:tc>
        <w:tc>
          <w:tcPr>
            <w:tcW w:w="8445" w:type="dxa"/>
            <w:tcBorders>
              <w:left w:val="nil"/>
            </w:tcBorders>
          </w:tcPr>
          <w:p w14:paraId="3B4AF1C6" w14:textId="7864825D" w:rsidR="00BE2129" w:rsidRPr="002676FA" w:rsidRDefault="00CB0C37" w:rsidP="00BE31DD">
            <w:pPr>
              <w:spacing w:line="259" w:lineRule="auto"/>
              <w:textAlignment w:val="baseline"/>
              <w:rPr>
                <w:b/>
                <w:bCs/>
                <w:sz w:val="28"/>
                <w:szCs w:val="28"/>
              </w:rPr>
            </w:pPr>
            <w:r w:rsidRPr="002676FA">
              <w:rPr>
                <w:b/>
                <w:bCs/>
                <w:sz w:val="28"/>
                <w:szCs w:val="28"/>
              </w:rPr>
              <w:t>Sarah Ilori, University of Regina, Canada</w:t>
            </w:r>
          </w:p>
          <w:p w14:paraId="2D14782D" w14:textId="77777777" w:rsidR="00CB0C37" w:rsidRPr="002676FA" w:rsidRDefault="00CB0C37" w:rsidP="00BE31DD">
            <w:pPr>
              <w:spacing w:line="259" w:lineRule="auto"/>
              <w:textAlignment w:val="baseline"/>
              <w:rPr>
                <w:rFonts w:eastAsia="Times New Roman"/>
                <w:b/>
                <w:bCs/>
                <w:color w:val="242424"/>
                <w:sz w:val="28"/>
                <w:szCs w:val="28"/>
                <w:lang w:val="en-US"/>
              </w:rPr>
            </w:pPr>
          </w:p>
          <w:p w14:paraId="12F2B008" w14:textId="5606AEAE" w:rsidR="008903C3" w:rsidRPr="002676FA" w:rsidRDefault="002C4A5C" w:rsidP="00BE31DD">
            <w:pPr>
              <w:spacing w:line="259" w:lineRule="auto"/>
              <w:textAlignment w:val="baseline"/>
              <w:rPr>
                <w:b/>
                <w:bCs/>
                <w:i/>
                <w:iCs/>
                <w:sz w:val="28"/>
                <w:szCs w:val="28"/>
              </w:rPr>
            </w:pPr>
            <w:r w:rsidRPr="002676FA">
              <w:rPr>
                <w:b/>
                <w:bCs/>
                <w:i/>
                <w:iCs/>
                <w:sz w:val="28"/>
                <w:szCs w:val="28"/>
              </w:rPr>
              <w:t>“</w:t>
            </w:r>
            <w:r w:rsidR="00B96C1D" w:rsidRPr="002676FA">
              <w:rPr>
                <w:b/>
                <w:bCs/>
                <w:sz w:val="28"/>
                <w:szCs w:val="28"/>
              </w:rPr>
              <w:t>Enhancing Engagement in an Asynchronous Online Course</w:t>
            </w:r>
            <w:r w:rsidRPr="002676FA">
              <w:rPr>
                <w:b/>
                <w:bCs/>
                <w:i/>
                <w:iCs/>
                <w:sz w:val="28"/>
                <w:szCs w:val="28"/>
              </w:rPr>
              <w:t>”</w:t>
            </w:r>
          </w:p>
          <w:p w14:paraId="69F32335" w14:textId="77777777" w:rsidR="002C4A5C" w:rsidRDefault="002C4A5C" w:rsidP="00BE31DD">
            <w:pPr>
              <w:spacing w:line="259" w:lineRule="auto"/>
              <w:textAlignment w:val="baseline"/>
              <w:rPr>
                <w:rFonts w:eastAsia="Times New Roman"/>
                <w:color w:val="242424"/>
                <w:sz w:val="24"/>
                <w:szCs w:val="24"/>
                <w:lang w:val="en-US"/>
              </w:rPr>
            </w:pPr>
          </w:p>
          <w:p w14:paraId="3A02BF00" w14:textId="7ED1CC5A" w:rsidR="00BE2129" w:rsidRDefault="00B37729" w:rsidP="00BE31DD">
            <w:pPr>
              <w:spacing w:line="259" w:lineRule="auto"/>
              <w:textAlignment w:val="baseline"/>
            </w:pPr>
            <w:r w:rsidRPr="00B00AAB">
              <w:t>Online asynchronous courses often struggle with limited peer interaction and lack of meaningful dialogue due to conflicting student schedules. To address this challenge, I developed a low-tech, flexible video discussion assignment designed to foster engagement and collaborative learning for an asynchronous class on family health. Students were tasked with 6 video submissions over the course of the semester. Students were assigned to small groups based to discuss guided questions related to course readings and their clinical experiences, recording a short video of their conversation. Participation was individually assessed based on contributions rather than group performance, encouraging accountability. Students had the option to complete an individual reflective blog post if they were unable to meet synchronously with their peers.</w:t>
            </w:r>
            <w:r w:rsidR="00743C68">
              <w:t xml:space="preserve"> </w:t>
            </w:r>
            <w:r w:rsidRPr="00B00AAB">
              <w:t xml:space="preserve">This strategy, worth 5% weekly, resulted in increased participation, deeper reflections, and strong peer-to-peer learning. Despite initial hesitation, students reported enjoying the opportunity to “bounce ideas off each other” and appreciated the flexibility of submitting at any point during the term. This </w:t>
            </w:r>
            <w:r w:rsidRPr="00B00AAB">
              <w:lastRenderedPageBreak/>
              <w:t>presentation will share the design, implementation, and outcomes of this alternative assessment, and offer practical tips for adopting a similar approach.</w:t>
            </w:r>
          </w:p>
          <w:p w14:paraId="4FE28368" w14:textId="1EBB98B3" w:rsidR="00B37729" w:rsidRPr="002C4A5C" w:rsidRDefault="00B37729" w:rsidP="00BE31DD">
            <w:pPr>
              <w:spacing w:line="259" w:lineRule="auto"/>
              <w:textAlignment w:val="baseline"/>
              <w:rPr>
                <w:rFonts w:eastAsia="Times New Roman"/>
                <w:color w:val="242424"/>
                <w:sz w:val="24"/>
                <w:szCs w:val="24"/>
                <w:lang w:val="en-US"/>
              </w:rPr>
            </w:pPr>
          </w:p>
        </w:tc>
      </w:tr>
      <w:tr w:rsidR="001D3057" w14:paraId="6DA22D4C" w14:textId="77777777" w:rsidTr="00A94567">
        <w:tc>
          <w:tcPr>
            <w:tcW w:w="2265" w:type="dxa"/>
            <w:tcBorders>
              <w:bottom w:val="single" w:sz="4" w:space="0" w:color="auto"/>
              <w:right w:val="nil"/>
            </w:tcBorders>
            <w:shd w:val="clear" w:color="auto" w:fill="9BC7CE" w:themeFill="accent5" w:themeFillTint="99"/>
          </w:tcPr>
          <w:p w14:paraId="4B8A466E" w14:textId="77777777" w:rsidR="001D3057" w:rsidRPr="00BE2129" w:rsidRDefault="001D3057" w:rsidP="0011532A">
            <w:pPr>
              <w:rPr>
                <w:rFonts w:cstheme="minorHAnsi"/>
                <w:b/>
                <w:bCs/>
                <w:sz w:val="26"/>
                <w:szCs w:val="26"/>
              </w:rPr>
            </w:pPr>
          </w:p>
        </w:tc>
        <w:tc>
          <w:tcPr>
            <w:tcW w:w="8445" w:type="dxa"/>
            <w:tcBorders>
              <w:left w:val="nil"/>
            </w:tcBorders>
            <w:shd w:val="clear" w:color="auto" w:fill="9BC7CE" w:themeFill="accent5" w:themeFillTint="99"/>
          </w:tcPr>
          <w:p w14:paraId="12BCBCC3" w14:textId="77777777" w:rsidR="001D3057" w:rsidRPr="00BE2129" w:rsidRDefault="001D3057" w:rsidP="00142B2C">
            <w:pPr>
              <w:textAlignment w:val="baseline"/>
              <w:rPr>
                <w:rFonts w:eastAsia="Times New Roman"/>
                <w:b/>
                <w:bCs/>
                <w:color w:val="242424"/>
                <w:sz w:val="24"/>
                <w:szCs w:val="24"/>
                <w:lang w:val="en-US"/>
              </w:rPr>
            </w:pPr>
          </w:p>
        </w:tc>
      </w:tr>
      <w:tr w:rsidR="00B4287D" w14:paraId="04E9DB2E" w14:textId="77777777" w:rsidTr="00A94567">
        <w:tc>
          <w:tcPr>
            <w:tcW w:w="2265" w:type="dxa"/>
            <w:tcBorders>
              <w:right w:val="nil"/>
            </w:tcBorders>
          </w:tcPr>
          <w:p w14:paraId="6F692784" w14:textId="46A74D1A" w:rsidR="00B4287D" w:rsidRPr="001C188E" w:rsidRDefault="00564A32" w:rsidP="001C188E">
            <w:pPr>
              <w:rPr>
                <w:rFonts w:cstheme="minorHAnsi"/>
                <w:b/>
                <w:bCs/>
                <w:sz w:val="26"/>
                <w:szCs w:val="26"/>
              </w:rPr>
            </w:pPr>
            <w:r>
              <w:rPr>
                <w:rFonts w:cstheme="minorHAnsi"/>
                <w:b/>
                <w:bCs/>
                <w:sz w:val="26"/>
                <w:szCs w:val="26"/>
              </w:rPr>
              <w:t>11:</w:t>
            </w:r>
            <w:r w:rsidR="00B37729">
              <w:rPr>
                <w:rFonts w:cstheme="minorHAnsi"/>
                <w:b/>
                <w:bCs/>
                <w:sz w:val="26"/>
                <w:szCs w:val="26"/>
              </w:rPr>
              <w:t>3</w:t>
            </w:r>
            <w:r>
              <w:rPr>
                <w:rFonts w:cstheme="minorHAnsi"/>
                <w:b/>
                <w:bCs/>
                <w:sz w:val="26"/>
                <w:szCs w:val="26"/>
              </w:rPr>
              <w:t xml:space="preserve">5 </w:t>
            </w:r>
            <w:r w:rsidR="00344651" w:rsidRPr="001C188E">
              <w:rPr>
                <w:rFonts w:cstheme="minorHAnsi"/>
                <w:b/>
                <w:bCs/>
                <w:sz w:val="26"/>
                <w:szCs w:val="26"/>
              </w:rPr>
              <w:t xml:space="preserve">PRESENTATION </w:t>
            </w:r>
          </w:p>
        </w:tc>
        <w:tc>
          <w:tcPr>
            <w:tcW w:w="8445" w:type="dxa"/>
            <w:tcBorders>
              <w:left w:val="nil"/>
            </w:tcBorders>
          </w:tcPr>
          <w:p w14:paraId="5686109A" w14:textId="77777777" w:rsidR="00B37729" w:rsidRPr="002676FA" w:rsidRDefault="00B37729" w:rsidP="00B37729">
            <w:pPr>
              <w:textAlignment w:val="baseline"/>
              <w:rPr>
                <w:rFonts w:ascii="Calibri" w:hAnsi="Calibri" w:cs="Calibri"/>
                <w:b/>
                <w:bCs/>
                <w:sz w:val="28"/>
                <w:szCs w:val="28"/>
              </w:rPr>
            </w:pPr>
            <w:r w:rsidRPr="002676FA">
              <w:rPr>
                <w:rFonts w:ascii="Calibri" w:hAnsi="Calibri" w:cs="Calibri"/>
                <w:b/>
                <w:bCs/>
                <w:sz w:val="28"/>
                <w:szCs w:val="28"/>
              </w:rPr>
              <w:t>Sarah Ilori, University of Regina, Canada</w:t>
            </w:r>
          </w:p>
          <w:p w14:paraId="33D45289" w14:textId="77777777" w:rsidR="001C188E" w:rsidRPr="002676FA" w:rsidRDefault="001C188E" w:rsidP="00344651">
            <w:pPr>
              <w:spacing w:after="120"/>
              <w:contextualSpacing/>
              <w:rPr>
                <w:rFonts w:ascii="Calibri" w:hAnsi="Calibri" w:cs="Calibri"/>
                <w:b/>
                <w:bCs/>
                <w:sz w:val="28"/>
                <w:szCs w:val="28"/>
              </w:rPr>
            </w:pPr>
          </w:p>
          <w:p w14:paraId="4FD15683" w14:textId="5871ED90" w:rsidR="00863D0D" w:rsidRPr="002676FA" w:rsidRDefault="00863D0D" w:rsidP="002072B1">
            <w:pPr>
              <w:spacing w:after="120" w:line="360" w:lineRule="auto"/>
              <w:contextualSpacing/>
              <w:rPr>
                <w:rFonts w:ascii="Calibri" w:hAnsi="Calibri" w:cs="Calibri"/>
                <w:b/>
                <w:bCs/>
                <w:i/>
                <w:iCs/>
                <w:sz w:val="28"/>
                <w:szCs w:val="28"/>
              </w:rPr>
            </w:pPr>
            <w:r w:rsidRPr="002676FA">
              <w:rPr>
                <w:rFonts w:ascii="Calibri" w:hAnsi="Calibri" w:cs="Calibri"/>
                <w:b/>
                <w:bCs/>
                <w:i/>
                <w:iCs/>
                <w:sz w:val="28"/>
                <w:szCs w:val="28"/>
              </w:rPr>
              <w:t>“</w:t>
            </w:r>
            <w:r w:rsidR="002072B1" w:rsidRPr="002676FA">
              <w:rPr>
                <w:rFonts w:ascii="Calibri" w:hAnsi="Calibri" w:cs="Calibri"/>
                <w:b/>
                <w:bCs/>
                <w:color w:val="434343"/>
                <w:sz w:val="28"/>
                <w:szCs w:val="28"/>
              </w:rPr>
              <w:t>Case-Based Learning with Gen AI Support: Building Clinical Judgment Skills in Medical-Surgical Nursing”</w:t>
            </w:r>
          </w:p>
          <w:p w14:paraId="301DDE67" w14:textId="52C97E40" w:rsidR="00A55D3A" w:rsidRPr="00BE31DD" w:rsidRDefault="00025445" w:rsidP="00863D0D">
            <w:pPr>
              <w:spacing w:after="160" w:line="259" w:lineRule="auto"/>
              <w:rPr>
                <w:rFonts w:ascii="Calibri" w:hAnsi="Calibri" w:cs="Calibri"/>
                <w:sz w:val="24"/>
                <w:szCs w:val="24"/>
              </w:rPr>
            </w:pPr>
            <w:r w:rsidRPr="00BE31DD">
              <w:rPr>
                <w:rFonts w:ascii="Calibri" w:hAnsi="Calibri" w:cs="Calibri"/>
                <w:color w:val="434343"/>
                <w:sz w:val="24"/>
                <w:szCs w:val="24"/>
              </w:rPr>
              <w:t>Developing critical thinking and clinical judgment skills is essential in medical-surgical nursing education. To create an engaging, formative classroom assessment, I implemented a case-based learning activity where students worked in small groups on different but complementary tasks. One group was provided with a patient scenario that evolved in complexity, requiring them to anticipate changes in clinical status and respond using guided questions. A second group was given only a brief synopsis and tasked with developing a full scenario and plan of care with the aid of generative AI tools. A third group focused on medication management, linking pharmacology to the week’s topic. Senior nursing students acted as facilitators to support the groups, and each group presented their work in class, prompting further discussion and peer learning.</w:t>
            </w:r>
            <w:r w:rsidRPr="00BE31DD">
              <w:rPr>
                <w:rFonts w:ascii="Calibri" w:hAnsi="Calibri" w:cs="Calibri"/>
                <w:color w:val="434343"/>
                <w:sz w:val="24"/>
                <w:szCs w:val="24"/>
              </w:rPr>
              <w:br/>
            </w:r>
            <w:r w:rsidRPr="00BE31DD">
              <w:rPr>
                <w:rFonts w:ascii="Calibri" w:hAnsi="Calibri" w:cs="Calibri"/>
                <w:color w:val="434343"/>
                <w:sz w:val="24"/>
                <w:szCs w:val="24"/>
              </w:rPr>
              <w:br/>
              <w:t>This formative assessment encouraged higher-order thinking, application of theory to practice, and collaborative learning. While some students struggled with group preparedness, the activity demonstrated the potential of integrating case-based learning and AI tools to deepen understanding, promote clinical reasoning, and prepare learners for complex decision-making in practice</w:t>
            </w:r>
            <w:r w:rsidR="00BE31DD" w:rsidRPr="00BE31DD">
              <w:rPr>
                <w:rFonts w:ascii="Calibri" w:hAnsi="Calibri" w:cs="Calibri"/>
                <w:color w:val="434343"/>
                <w:sz w:val="24"/>
                <w:szCs w:val="24"/>
              </w:rPr>
              <w:t>.</w:t>
            </w:r>
          </w:p>
        </w:tc>
      </w:tr>
      <w:tr w:rsidR="001D3057" w14:paraId="49FCD11E" w14:textId="77777777" w:rsidTr="00A94567">
        <w:tc>
          <w:tcPr>
            <w:tcW w:w="2265" w:type="dxa"/>
            <w:tcBorders>
              <w:right w:val="nil"/>
            </w:tcBorders>
            <w:shd w:val="clear" w:color="auto" w:fill="9BC7CE" w:themeFill="accent5" w:themeFillTint="99"/>
          </w:tcPr>
          <w:p w14:paraId="084B6F41" w14:textId="77777777" w:rsidR="001D3057" w:rsidRPr="001C188E" w:rsidRDefault="001D3057" w:rsidP="001C188E">
            <w:pPr>
              <w:rPr>
                <w:rFonts w:cstheme="minorHAnsi"/>
                <w:b/>
                <w:bCs/>
                <w:sz w:val="26"/>
                <w:szCs w:val="26"/>
              </w:rPr>
            </w:pPr>
          </w:p>
        </w:tc>
        <w:tc>
          <w:tcPr>
            <w:tcW w:w="8445" w:type="dxa"/>
            <w:tcBorders>
              <w:left w:val="nil"/>
            </w:tcBorders>
            <w:shd w:val="clear" w:color="auto" w:fill="9BC7CE" w:themeFill="accent5" w:themeFillTint="99"/>
          </w:tcPr>
          <w:p w14:paraId="50F7B58D" w14:textId="77777777" w:rsidR="001D3057" w:rsidRPr="00BE2129" w:rsidRDefault="001D3057" w:rsidP="00344651">
            <w:pPr>
              <w:spacing w:after="120"/>
              <w:contextualSpacing/>
              <w:rPr>
                <w:rFonts w:cstheme="minorHAnsi"/>
                <w:b/>
                <w:bCs/>
                <w:sz w:val="24"/>
                <w:szCs w:val="24"/>
              </w:rPr>
            </w:pPr>
          </w:p>
        </w:tc>
      </w:tr>
      <w:tr w:rsidR="006A5D76" w14:paraId="30A17C85" w14:textId="77777777" w:rsidTr="00A94567">
        <w:tc>
          <w:tcPr>
            <w:tcW w:w="2265" w:type="dxa"/>
            <w:tcBorders>
              <w:right w:val="nil"/>
            </w:tcBorders>
          </w:tcPr>
          <w:p w14:paraId="07F28EE5" w14:textId="7A461AEE" w:rsidR="006A5D76" w:rsidRPr="00636171" w:rsidRDefault="00025445" w:rsidP="00492048">
            <w:pPr>
              <w:rPr>
                <w:rFonts w:cstheme="minorHAnsi"/>
                <w:b/>
                <w:bCs/>
                <w:sz w:val="26"/>
                <w:szCs w:val="26"/>
              </w:rPr>
            </w:pPr>
            <w:r>
              <w:rPr>
                <w:rFonts w:cstheme="minorHAnsi"/>
                <w:b/>
                <w:bCs/>
                <w:sz w:val="26"/>
                <w:szCs w:val="26"/>
              </w:rPr>
              <w:t xml:space="preserve">12:30 </w:t>
            </w:r>
            <w:r w:rsidR="00636171" w:rsidRPr="00636171">
              <w:rPr>
                <w:rFonts w:cstheme="minorHAnsi"/>
                <w:b/>
                <w:bCs/>
                <w:sz w:val="26"/>
                <w:szCs w:val="26"/>
              </w:rPr>
              <w:t>PM</w:t>
            </w:r>
          </w:p>
          <w:p w14:paraId="5D8C0539" w14:textId="2E119767" w:rsidR="00636171" w:rsidRPr="00636171" w:rsidRDefault="00636171" w:rsidP="00492048">
            <w:pPr>
              <w:rPr>
                <w:rFonts w:cstheme="minorHAnsi"/>
                <w:b/>
                <w:bCs/>
                <w:sz w:val="26"/>
                <w:szCs w:val="26"/>
              </w:rPr>
            </w:pPr>
            <w:r w:rsidRPr="00636171">
              <w:rPr>
                <w:rFonts w:cstheme="minorHAnsi"/>
                <w:b/>
                <w:bCs/>
                <w:sz w:val="26"/>
                <w:szCs w:val="26"/>
              </w:rPr>
              <w:t>PRESENTATION</w:t>
            </w:r>
          </w:p>
        </w:tc>
        <w:tc>
          <w:tcPr>
            <w:tcW w:w="8445" w:type="dxa"/>
            <w:tcBorders>
              <w:left w:val="nil"/>
            </w:tcBorders>
          </w:tcPr>
          <w:p w14:paraId="7CDDA8CB" w14:textId="7446A0BF" w:rsidR="00BB74EF" w:rsidRPr="002676FA" w:rsidRDefault="000F26D5" w:rsidP="00A322ED">
            <w:pPr>
              <w:rPr>
                <w:b/>
                <w:bCs/>
                <w:sz w:val="28"/>
                <w:szCs w:val="28"/>
              </w:rPr>
            </w:pPr>
            <w:r w:rsidRPr="002676FA">
              <w:rPr>
                <w:b/>
                <w:bCs/>
                <w:sz w:val="28"/>
                <w:szCs w:val="28"/>
              </w:rPr>
              <w:t xml:space="preserve">Johannes Cronje </w:t>
            </w:r>
            <w:r w:rsidR="00743C68">
              <w:rPr>
                <w:b/>
                <w:bCs/>
                <w:sz w:val="28"/>
                <w:szCs w:val="28"/>
              </w:rPr>
              <w:t>(</w:t>
            </w:r>
            <w:r w:rsidR="005218F0" w:rsidRPr="002676FA">
              <w:rPr>
                <w:b/>
                <w:bCs/>
                <w:sz w:val="28"/>
                <w:szCs w:val="28"/>
              </w:rPr>
              <w:t>recently retired</w:t>
            </w:r>
            <w:r w:rsidR="00743C68">
              <w:rPr>
                <w:b/>
                <w:bCs/>
                <w:sz w:val="28"/>
                <w:szCs w:val="28"/>
              </w:rPr>
              <w:t>),</w:t>
            </w:r>
            <w:r w:rsidR="005218F0" w:rsidRPr="002676FA">
              <w:rPr>
                <w:b/>
                <w:bCs/>
                <w:sz w:val="28"/>
                <w:szCs w:val="28"/>
              </w:rPr>
              <w:t xml:space="preserve"> </w:t>
            </w:r>
            <w:hyperlink r:id="rId5" w:tgtFrame="_blank" w:history="1">
              <w:r w:rsidR="005218F0" w:rsidRPr="002676FA">
                <w:rPr>
                  <w:rStyle w:val="Hyperlink"/>
                  <w:b/>
                  <w:bCs/>
                  <w:color w:val="auto"/>
                  <w:sz w:val="28"/>
                  <w:szCs w:val="28"/>
                  <w:u w:val="none"/>
                </w:rPr>
                <w:t>Cape Peninsula University of Technology</w:t>
              </w:r>
            </w:hyperlink>
            <w:r w:rsidR="005218F0" w:rsidRPr="002676FA">
              <w:rPr>
                <w:sz w:val="28"/>
                <w:szCs w:val="28"/>
              </w:rPr>
              <w:t xml:space="preserve">, </w:t>
            </w:r>
            <w:r w:rsidRPr="002676FA">
              <w:rPr>
                <w:b/>
                <w:bCs/>
                <w:sz w:val="28"/>
                <w:szCs w:val="28"/>
              </w:rPr>
              <w:t xml:space="preserve"> </w:t>
            </w:r>
            <w:r w:rsidR="00317895" w:rsidRPr="002676FA">
              <w:rPr>
                <w:b/>
                <w:bCs/>
                <w:sz w:val="28"/>
                <w:szCs w:val="28"/>
              </w:rPr>
              <w:t xml:space="preserve">South Africa </w:t>
            </w:r>
          </w:p>
          <w:p w14:paraId="7C35C608" w14:textId="77777777" w:rsidR="00542D47" w:rsidRPr="002676FA" w:rsidRDefault="00542D47" w:rsidP="00A322ED">
            <w:pPr>
              <w:rPr>
                <w:rStyle w:val="normaltextrun"/>
                <w:rFonts w:cstheme="minorHAnsi"/>
                <w:b/>
                <w:bCs/>
                <w:sz w:val="28"/>
                <w:szCs w:val="28"/>
                <w:shd w:val="clear" w:color="auto" w:fill="FFFFFF"/>
              </w:rPr>
            </w:pPr>
          </w:p>
          <w:p w14:paraId="6A0FD343" w14:textId="27127772" w:rsidR="00B45C16" w:rsidRPr="004E6BD1" w:rsidRDefault="00653BFA" w:rsidP="00264AD2">
            <w:pPr>
              <w:rPr>
                <w:b/>
                <w:bCs/>
                <w:sz w:val="28"/>
                <w:szCs w:val="28"/>
              </w:rPr>
            </w:pPr>
            <w:r w:rsidRPr="004E6BD1">
              <w:rPr>
                <w:b/>
                <w:bCs/>
                <w:sz w:val="28"/>
                <w:szCs w:val="28"/>
              </w:rPr>
              <w:t>“</w:t>
            </w:r>
            <w:r w:rsidR="00FC2447" w:rsidRPr="004E6BD1">
              <w:rPr>
                <w:b/>
                <w:bCs/>
                <w:sz w:val="28"/>
                <w:szCs w:val="28"/>
              </w:rPr>
              <w:t xml:space="preserve">Using LLMs </w:t>
            </w:r>
            <w:r w:rsidR="00542D47" w:rsidRPr="004E6BD1">
              <w:rPr>
                <w:b/>
                <w:bCs/>
                <w:sz w:val="28"/>
                <w:szCs w:val="28"/>
              </w:rPr>
              <w:t>for Literature Surveys through Constructivist Approaches”</w:t>
            </w:r>
          </w:p>
          <w:p w14:paraId="78C9EB9B" w14:textId="77777777" w:rsidR="00653BFA" w:rsidRPr="00B45C16" w:rsidRDefault="00653BFA" w:rsidP="00264AD2">
            <w:pPr>
              <w:rPr>
                <w:b/>
                <w:bCs/>
                <w:i/>
                <w:iCs/>
              </w:rPr>
            </w:pPr>
          </w:p>
          <w:p w14:paraId="5C30B40F" w14:textId="77777777" w:rsidR="00FE2AA7" w:rsidRPr="00FE2AA7" w:rsidRDefault="00FE2AA7" w:rsidP="00FE2AA7">
            <w:pPr>
              <w:spacing w:line="259" w:lineRule="auto"/>
              <w:rPr>
                <w:sz w:val="24"/>
                <w:szCs w:val="24"/>
              </w:rPr>
            </w:pPr>
            <w:r w:rsidRPr="00FE2AA7">
              <w:rPr>
                <w:sz w:val="24"/>
                <w:szCs w:val="24"/>
              </w:rPr>
              <w:t xml:space="preserve">The presentation describes a case study in which students were asked to generate a research topic for themselves and then use ChatGPT (chat generative pre-trained transformer) – a language model AI – to generate prompts for their literature survey. The students then used a spreadsheet to organise their research and a branching tree diagram to form the outline of their literature survey. They used mail merge to extract relevant quotations from their spreadsheets and then used a chatbot to assist them in assembling the final literature survey. We compared the work done by the students in the case study to a group of fifth-year students who did not follow the process and found that the students who used the integrated learning approach had developed an insight in the responsible and ethical use of AI. They also had a much clearer understanding of the research process. In contrast, the fifth-year group simply asked the AI to write the literature survey, resulting in a </w:t>
            </w:r>
            <w:r w:rsidRPr="00FE2AA7">
              <w:rPr>
                <w:sz w:val="24"/>
                <w:szCs w:val="24"/>
              </w:rPr>
              <w:lastRenderedPageBreak/>
              <w:t>well-written but vacuous piece of work filled with falsehoods, hallucinations, and fake references. The presentation concludes by pointing out that constructivist learning tasks can help students develop a good understanding of the value of a good prompt and use a step-by step approach to generate the final project. It suggests that in future, the emphasis should be placed on the process of writing with AI, whereas in a posthuman sense, the focus should not be on the student, but on the task.</w:t>
            </w:r>
          </w:p>
          <w:p w14:paraId="5FB151F1" w14:textId="35FB0C5B" w:rsidR="004706E8" w:rsidRPr="00B45C16" w:rsidRDefault="004706E8" w:rsidP="00B45C16">
            <w:pPr>
              <w:spacing w:line="259" w:lineRule="auto"/>
              <w:rPr>
                <w:rFonts w:cstheme="minorHAnsi"/>
                <w:sz w:val="24"/>
                <w:szCs w:val="24"/>
                <w:shd w:val="clear" w:color="auto" w:fill="FFFFFF"/>
              </w:rPr>
            </w:pPr>
          </w:p>
        </w:tc>
      </w:tr>
      <w:tr w:rsidR="001D3057" w14:paraId="5503B8D3" w14:textId="77777777" w:rsidTr="00A94567">
        <w:tc>
          <w:tcPr>
            <w:tcW w:w="2265" w:type="dxa"/>
            <w:tcBorders>
              <w:right w:val="nil"/>
            </w:tcBorders>
            <w:shd w:val="clear" w:color="auto" w:fill="9BC7CE" w:themeFill="accent5" w:themeFillTint="99"/>
          </w:tcPr>
          <w:p w14:paraId="1AFD70E5" w14:textId="77777777" w:rsidR="001D3057" w:rsidRPr="00636171" w:rsidRDefault="001D3057" w:rsidP="00492048">
            <w:pPr>
              <w:rPr>
                <w:rFonts w:cstheme="minorHAnsi"/>
                <w:b/>
                <w:bCs/>
                <w:sz w:val="26"/>
                <w:szCs w:val="26"/>
              </w:rPr>
            </w:pPr>
          </w:p>
        </w:tc>
        <w:tc>
          <w:tcPr>
            <w:tcW w:w="8445" w:type="dxa"/>
            <w:tcBorders>
              <w:left w:val="nil"/>
            </w:tcBorders>
            <w:shd w:val="clear" w:color="auto" w:fill="9BC7CE" w:themeFill="accent5" w:themeFillTint="99"/>
          </w:tcPr>
          <w:p w14:paraId="07E0C574" w14:textId="77777777" w:rsidR="001D3057" w:rsidRPr="0060767D" w:rsidRDefault="001D3057" w:rsidP="00A322ED">
            <w:pPr>
              <w:rPr>
                <w:rStyle w:val="normaltextrun"/>
                <w:rFonts w:cstheme="minorHAnsi"/>
                <w:b/>
                <w:bCs/>
                <w:sz w:val="24"/>
                <w:szCs w:val="24"/>
                <w:shd w:val="clear" w:color="auto" w:fill="FFFFFF"/>
              </w:rPr>
            </w:pPr>
          </w:p>
        </w:tc>
      </w:tr>
      <w:tr w:rsidR="00C12D3E" w14:paraId="45F2E20F" w14:textId="77777777" w:rsidTr="00A94567">
        <w:tc>
          <w:tcPr>
            <w:tcW w:w="2265" w:type="dxa"/>
            <w:tcBorders>
              <w:right w:val="nil"/>
            </w:tcBorders>
          </w:tcPr>
          <w:p w14:paraId="1AA5A756" w14:textId="0BACFBE2" w:rsidR="00C12D3E" w:rsidRDefault="00FE2AA7" w:rsidP="00492048">
            <w:pPr>
              <w:rPr>
                <w:b/>
                <w:bCs/>
                <w:sz w:val="26"/>
                <w:szCs w:val="26"/>
              </w:rPr>
            </w:pPr>
            <w:r>
              <w:rPr>
                <w:rFonts w:cstheme="minorHAnsi"/>
                <w:b/>
                <w:bCs/>
                <w:sz w:val="26"/>
                <w:szCs w:val="26"/>
              </w:rPr>
              <w:t xml:space="preserve">1:00 </w:t>
            </w:r>
            <w:r w:rsidR="00264AD2" w:rsidRPr="00264AD2">
              <w:rPr>
                <w:b/>
                <w:bCs/>
                <w:sz w:val="26"/>
                <w:szCs w:val="26"/>
              </w:rPr>
              <w:t>PM</w:t>
            </w:r>
          </w:p>
          <w:p w14:paraId="36FA6B14" w14:textId="77777777" w:rsidR="00264AD2" w:rsidRDefault="0065122B" w:rsidP="00492048">
            <w:pPr>
              <w:rPr>
                <w:b/>
                <w:bCs/>
                <w:sz w:val="26"/>
                <w:szCs w:val="26"/>
              </w:rPr>
            </w:pPr>
            <w:r>
              <w:rPr>
                <w:b/>
                <w:bCs/>
                <w:sz w:val="26"/>
                <w:szCs w:val="26"/>
              </w:rPr>
              <w:t>KEYNOTE</w:t>
            </w:r>
          </w:p>
          <w:p w14:paraId="2C06A980" w14:textId="396B872C" w:rsidR="0065122B" w:rsidRPr="00264AD2" w:rsidRDefault="0065122B" w:rsidP="00492048">
            <w:pPr>
              <w:rPr>
                <w:rFonts w:cstheme="minorHAnsi"/>
                <w:b/>
                <w:bCs/>
                <w:sz w:val="28"/>
                <w:szCs w:val="28"/>
              </w:rPr>
            </w:pPr>
            <w:r>
              <w:rPr>
                <w:rFonts w:cstheme="minorHAnsi"/>
                <w:b/>
                <w:bCs/>
                <w:sz w:val="26"/>
                <w:szCs w:val="26"/>
              </w:rPr>
              <w:t>ADDRESS</w:t>
            </w:r>
          </w:p>
        </w:tc>
        <w:tc>
          <w:tcPr>
            <w:tcW w:w="8445" w:type="dxa"/>
            <w:tcBorders>
              <w:left w:val="nil"/>
            </w:tcBorders>
          </w:tcPr>
          <w:p w14:paraId="794F5910" w14:textId="51B27C63" w:rsidR="002A45E8" w:rsidRPr="002676FA" w:rsidRDefault="009D61A2" w:rsidP="009D61A2">
            <w:pPr>
              <w:spacing w:after="160" w:line="259" w:lineRule="auto"/>
              <w:rPr>
                <w:rStyle w:val="normaltextrun"/>
                <w:rFonts w:cstheme="minorHAnsi"/>
                <w:b/>
                <w:bCs/>
                <w:sz w:val="28"/>
                <w:szCs w:val="28"/>
                <w:shd w:val="clear" w:color="auto" w:fill="FFFFFF"/>
              </w:rPr>
            </w:pPr>
            <w:r w:rsidRPr="00D2755F">
              <w:rPr>
                <w:rStyle w:val="normaltextrun"/>
                <w:rFonts w:ascii="Times New Roman" w:hAnsi="Times New Roman" w:cs="Times New Roman"/>
                <w:sz w:val="24"/>
                <w:szCs w:val="24"/>
                <w:shd w:val="clear" w:color="auto" w:fill="FFFFFF"/>
              </w:rPr>
              <w:t xml:space="preserve"> </w:t>
            </w:r>
            <w:r w:rsidR="002F0F1F" w:rsidRPr="002676FA">
              <w:rPr>
                <w:b/>
                <w:bCs/>
                <w:sz w:val="28"/>
                <w:szCs w:val="28"/>
              </w:rPr>
              <w:t xml:space="preserve">Céline Lemay, </w:t>
            </w:r>
            <w:r w:rsidR="0045213C" w:rsidRPr="002676FA">
              <w:rPr>
                <w:rFonts w:ascii="Calibri" w:hAnsi="Calibri" w:cs="Calibri"/>
                <w:b/>
                <w:bCs/>
                <w:sz w:val="28"/>
                <w:szCs w:val="28"/>
                <w:shd w:val="clear" w:color="auto" w:fill="FFFFFF"/>
              </w:rPr>
              <w:t>Université du Québec</w:t>
            </w:r>
            <w:r w:rsidR="00874AFF">
              <w:rPr>
                <w:rFonts w:ascii="Calibri" w:hAnsi="Calibri" w:cs="Calibri"/>
                <w:b/>
                <w:bCs/>
                <w:sz w:val="28"/>
                <w:szCs w:val="28"/>
                <w:shd w:val="clear" w:color="auto" w:fill="FFFFFF"/>
              </w:rPr>
              <w:t>,</w:t>
            </w:r>
            <w:r w:rsidR="0045213C" w:rsidRPr="002676FA">
              <w:rPr>
                <w:rFonts w:ascii="Calibri" w:hAnsi="Calibri" w:cs="Calibri"/>
                <w:b/>
                <w:bCs/>
                <w:sz w:val="28"/>
                <w:szCs w:val="28"/>
                <w:shd w:val="clear" w:color="auto" w:fill="FFFFFF"/>
              </w:rPr>
              <w:t xml:space="preserve"> Canada</w:t>
            </w:r>
          </w:p>
          <w:p w14:paraId="49C0E30E" w14:textId="1C3A6E24" w:rsidR="00653BFA" w:rsidRPr="002676FA" w:rsidRDefault="00653BFA" w:rsidP="0065122B">
            <w:pPr>
              <w:rPr>
                <w:b/>
                <w:bCs/>
                <w:sz w:val="28"/>
                <w:szCs w:val="28"/>
              </w:rPr>
            </w:pPr>
            <w:r w:rsidRPr="002676FA">
              <w:rPr>
                <w:b/>
                <w:bCs/>
                <w:i/>
                <w:iCs/>
                <w:sz w:val="28"/>
                <w:szCs w:val="28"/>
                <w:shd w:val="clear" w:color="auto" w:fill="FFFFFF"/>
              </w:rPr>
              <w:t>“</w:t>
            </w:r>
            <w:r w:rsidR="0065122B" w:rsidRPr="002676FA">
              <w:rPr>
                <w:b/>
                <w:bCs/>
                <w:sz w:val="28"/>
                <w:szCs w:val="28"/>
              </w:rPr>
              <w:t xml:space="preserve">Assessing the </w:t>
            </w:r>
            <w:r w:rsidR="00AD3F8C" w:rsidRPr="00743C68">
              <w:rPr>
                <w:b/>
                <w:bCs/>
                <w:i/>
                <w:iCs/>
                <w:sz w:val="28"/>
                <w:szCs w:val="28"/>
              </w:rPr>
              <w:t>B</w:t>
            </w:r>
            <w:r w:rsidR="0065122B" w:rsidRPr="002676FA">
              <w:rPr>
                <w:b/>
                <w:bCs/>
                <w:i/>
                <w:iCs/>
                <w:sz w:val="28"/>
                <w:szCs w:val="28"/>
              </w:rPr>
              <w:t>eing</w:t>
            </w:r>
            <w:r w:rsidR="0065122B" w:rsidRPr="002676FA">
              <w:rPr>
                <w:b/>
                <w:bCs/>
                <w:sz w:val="28"/>
                <w:szCs w:val="28"/>
              </w:rPr>
              <w:t xml:space="preserve"> of </w:t>
            </w:r>
            <w:r w:rsidR="00AD3F8C" w:rsidRPr="002676FA">
              <w:rPr>
                <w:b/>
                <w:bCs/>
                <w:sz w:val="28"/>
                <w:szCs w:val="28"/>
              </w:rPr>
              <w:t>B</w:t>
            </w:r>
            <w:r w:rsidR="0065122B" w:rsidRPr="002676FA">
              <w:rPr>
                <w:b/>
                <w:bCs/>
                <w:sz w:val="28"/>
                <w:szCs w:val="28"/>
              </w:rPr>
              <w:t xml:space="preserve">eing a </w:t>
            </w:r>
            <w:r w:rsidR="00AD3F8C" w:rsidRPr="002676FA">
              <w:rPr>
                <w:b/>
                <w:bCs/>
                <w:sz w:val="28"/>
                <w:szCs w:val="28"/>
              </w:rPr>
              <w:t>M</w:t>
            </w:r>
            <w:r w:rsidR="0065122B" w:rsidRPr="002676FA">
              <w:rPr>
                <w:b/>
                <w:bCs/>
                <w:sz w:val="28"/>
                <w:szCs w:val="28"/>
              </w:rPr>
              <w:t xml:space="preserve">idwife: </w:t>
            </w:r>
            <w:r w:rsidR="00AD3F8C" w:rsidRPr="002676FA">
              <w:rPr>
                <w:b/>
                <w:bCs/>
                <w:sz w:val="28"/>
                <w:szCs w:val="28"/>
              </w:rPr>
              <w:t>A</w:t>
            </w:r>
            <w:r w:rsidR="0065122B" w:rsidRPr="002676FA">
              <w:rPr>
                <w:b/>
                <w:bCs/>
                <w:sz w:val="28"/>
                <w:szCs w:val="28"/>
              </w:rPr>
              <w:t xml:space="preserve"> </w:t>
            </w:r>
            <w:r w:rsidR="00AD3F8C" w:rsidRPr="002676FA">
              <w:rPr>
                <w:b/>
                <w:bCs/>
                <w:sz w:val="28"/>
                <w:szCs w:val="28"/>
              </w:rPr>
              <w:t>Jo</w:t>
            </w:r>
            <w:r w:rsidR="0065122B" w:rsidRPr="002676FA">
              <w:rPr>
                <w:b/>
                <w:bCs/>
                <w:sz w:val="28"/>
                <w:szCs w:val="28"/>
              </w:rPr>
              <w:t>urney"</w:t>
            </w:r>
          </w:p>
          <w:p w14:paraId="3BD0E341" w14:textId="77777777" w:rsidR="0065122B" w:rsidRPr="0065122B" w:rsidRDefault="0065122B" w:rsidP="0065122B">
            <w:pPr>
              <w:rPr>
                <w:b/>
                <w:bCs/>
                <w:sz w:val="24"/>
                <w:szCs w:val="24"/>
              </w:rPr>
            </w:pPr>
          </w:p>
          <w:p w14:paraId="16A152D1" w14:textId="32707306" w:rsidR="0065122B" w:rsidRPr="00CA2BC4" w:rsidRDefault="00CA2BC4" w:rsidP="009D61A2">
            <w:pPr>
              <w:spacing w:after="160" w:line="259" w:lineRule="auto"/>
              <w:rPr>
                <w:rFonts w:cstheme="minorHAnsi"/>
                <w:color w:val="374151"/>
                <w:sz w:val="24"/>
                <w:szCs w:val="24"/>
                <w:shd w:val="clear" w:color="auto" w:fill="FFFFFF"/>
              </w:rPr>
            </w:pPr>
            <w:r w:rsidRPr="006A47DA">
              <w:rPr>
                <w:rFonts w:cstheme="minorHAnsi"/>
                <w:sz w:val="24"/>
                <w:szCs w:val="24"/>
                <w:shd w:val="clear" w:color="auto" w:fill="FFFFFF"/>
              </w:rPr>
              <w:t>The formation of midwives needs to ensure to the larger society that autonomous</w:t>
            </w:r>
            <w:r w:rsidRPr="006A47DA">
              <w:rPr>
                <w:rFonts w:cstheme="minorHAnsi"/>
                <w:sz w:val="24"/>
                <w:szCs w:val="24"/>
                <w:shd w:val="clear" w:color="auto" w:fill="FFFFFF"/>
              </w:rPr>
              <w:br/>
              <w:t>and competent professionals are being developed who are providing safe care in reproductive</w:t>
            </w:r>
            <w:r w:rsidR="00C76512" w:rsidRPr="006A47DA">
              <w:rPr>
                <w:rFonts w:cstheme="minorHAnsi"/>
                <w:sz w:val="24"/>
                <w:szCs w:val="24"/>
                <w:shd w:val="clear" w:color="auto" w:fill="FFFFFF"/>
              </w:rPr>
              <w:t xml:space="preserve"> </w:t>
            </w:r>
            <w:r w:rsidRPr="006A47DA">
              <w:rPr>
                <w:rFonts w:cstheme="minorHAnsi"/>
                <w:sz w:val="24"/>
                <w:szCs w:val="24"/>
                <w:shd w:val="clear" w:color="auto" w:fill="FFFFFF"/>
              </w:rPr>
              <w:t>health</w:t>
            </w:r>
            <w:r w:rsidR="00C76512" w:rsidRPr="006A47DA">
              <w:rPr>
                <w:rFonts w:cstheme="minorHAnsi"/>
                <w:sz w:val="24"/>
                <w:szCs w:val="24"/>
                <w:shd w:val="clear" w:color="auto" w:fill="FFFFFF"/>
              </w:rPr>
              <w:t>.</w:t>
            </w:r>
            <w:r w:rsidRPr="006A47DA">
              <w:rPr>
                <w:rFonts w:cstheme="minorHAnsi"/>
                <w:sz w:val="24"/>
                <w:szCs w:val="24"/>
                <w:shd w:val="clear" w:color="auto" w:fill="FFFFFF"/>
              </w:rPr>
              <w:t xml:space="preserve"> </w:t>
            </w:r>
            <w:r w:rsidR="00C76512" w:rsidRPr="006A47DA">
              <w:rPr>
                <w:rFonts w:cstheme="minorHAnsi"/>
                <w:sz w:val="24"/>
                <w:szCs w:val="24"/>
                <w:shd w:val="clear" w:color="auto" w:fill="FFFFFF"/>
              </w:rPr>
              <w:t>B</w:t>
            </w:r>
            <w:r w:rsidRPr="006A47DA">
              <w:rPr>
                <w:rFonts w:cstheme="minorHAnsi"/>
                <w:sz w:val="24"/>
                <w:szCs w:val="24"/>
                <w:shd w:val="clear" w:color="auto" w:fill="FFFFFF"/>
              </w:rPr>
              <w:t>ut there is also a duty</w:t>
            </w:r>
            <w:r w:rsidR="00C76512" w:rsidRPr="006A47DA">
              <w:rPr>
                <w:rFonts w:cstheme="minorHAnsi"/>
                <w:sz w:val="24"/>
                <w:szCs w:val="24"/>
                <w:shd w:val="clear" w:color="auto" w:fill="FFFFFF"/>
              </w:rPr>
              <w:t xml:space="preserve"> </w:t>
            </w:r>
            <w:r w:rsidRPr="006A47DA">
              <w:rPr>
                <w:rFonts w:cstheme="minorHAnsi"/>
                <w:sz w:val="24"/>
                <w:szCs w:val="24"/>
                <w:shd w:val="clear" w:color="auto" w:fill="FFFFFF"/>
              </w:rPr>
              <w:t xml:space="preserve">to do a transmission of </w:t>
            </w:r>
            <w:r w:rsidR="00C76512" w:rsidRPr="006A47DA">
              <w:rPr>
                <w:rFonts w:cstheme="minorHAnsi"/>
                <w:sz w:val="24"/>
                <w:szCs w:val="24"/>
                <w:shd w:val="clear" w:color="auto" w:fill="FFFFFF"/>
              </w:rPr>
              <w:t>the midwifery paradigm</w:t>
            </w:r>
            <w:r w:rsidRPr="006A47DA">
              <w:rPr>
                <w:rFonts w:cstheme="minorHAnsi"/>
                <w:sz w:val="24"/>
                <w:szCs w:val="24"/>
                <w:shd w:val="clear" w:color="auto" w:fill="FFFFFF"/>
              </w:rPr>
              <w:t>. This raise</w:t>
            </w:r>
            <w:r w:rsidR="00C76512" w:rsidRPr="006A47DA">
              <w:rPr>
                <w:rFonts w:cstheme="minorHAnsi"/>
                <w:sz w:val="24"/>
                <w:szCs w:val="24"/>
                <w:shd w:val="clear" w:color="auto" w:fill="FFFFFF"/>
              </w:rPr>
              <w:t>s</w:t>
            </w:r>
            <w:r w:rsidRPr="006A47DA">
              <w:rPr>
                <w:rFonts w:cstheme="minorHAnsi"/>
                <w:sz w:val="24"/>
                <w:szCs w:val="24"/>
                <w:shd w:val="clear" w:color="auto" w:fill="FFFFFF"/>
              </w:rPr>
              <w:t xml:space="preserve"> the question of the</w:t>
            </w:r>
            <w:r w:rsidR="00C76512" w:rsidRPr="006A47DA">
              <w:rPr>
                <w:rFonts w:cstheme="minorHAnsi"/>
                <w:sz w:val="24"/>
                <w:szCs w:val="24"/>
                <w:shd w:val="clear" w:color="auto" w:fill="FFFFFF"/>
              </w:rPr>
              <w:t xml:space="preserve"> </w:t>
            </w:r>
            <w:r w:rsidRPr="006A47DA">
              <w:rPr>
                <w:rFonts w:cstheme="minorHAnsi"/>
                <w:sz w:val="24"/>
                <w:szCs w:val="24"/>
                <w:shd w:val="clear" w:color="auto" w:fill="FFFFFF"/>
              </w:rPr>
              <w:t>assessment of the “being” of being a midwife</w:t>
            </w:r>
            <w:r w:rsidR="006A47DA" w:rsidRPr="006A47DA">
              <w:rPr>
                <w:rFonts w:cstheme="minorHAnsi"/>
                <w:sz w:val="24"/>
                <w:szCs w:val="24"/>
                <w:shd w:val="clear" w:color="auto" w:fill="FFFFFF"/>
              </w:rPr>
              <w:t xml:space="preserve"> including c</w:t>
            </w:r>
            <w:r w:rsidRPr="006A47DA">
              <w:rPr>
                <w:rFonts w:cstheme="minorHAnsi"/>
                <w:sz w:val="24"/>
                <w:szCs w:val="24"/>
                <w:shd w:val="clear" w:color="auto" w:fill="FFFFFF"/>
              </w:rPr>
              <w:t>onfidence, mastering the</w:t>
            </w:r>
            <w:r w:rsidR="006A47DA" w:rsidRPr="006A47DA">
              <w:rPr>
                <w:rFonts w:cstheme="minorHAnsi"/>
                <w:sz w:val="24"/>
                <w:szCs w:val="24"/>
                <w:shd w:val="clear" w:color="auto" w:fill="FFFFFF"/>
              </w:rPr>
              <w:t xml:space="preserve"> </w:t>
            </w:r>
            <w:r w:rsidRPr="006A47DA">
              <w:rPr>
                <w:rFonts w:cstheme="minorHAnsi"/>
                <w:sz w:val="24"/>
                <w:szCs w:val="24"/>
                <w:shd w:val="clear" w:color="auto" w:fill="FFFFFF"/>
              </w:rPr>
              <w:t>“quiet alert state”, guardianship, holding space</w:t>
            </w:r>
            <w:r w:rsidR="006A47DA" w:rsidRPr="006A47DA">
              <w:rPr>
                <w:rFonts w:cstheme="minorHAnsi"/>
                <w:sz w:val="24"/>
                <w:szCs w:val="24"/>
                <w:shd w:val="clear" w:color="auto" w:fill="FFFFFF"/>
              </w:rPr>
              <w:t>,</w:t>
            </w:r>
            <w:r w:rsidRPr="006A47DA">
              <w:rPr>
                <w:rFonts w:cstheme="minorHAnsi"/>
                <w:sz w:val="24"/>
                <w:szCs w:val="24"/>
                <w:shd w:val="clear" w:color="auto" w:fill="FFFFFF"/>
              </w:rPr>
              <w:t> etc. The presentation</w:t>
            </w:r>
            <w:r w:rsidR="006A47DA" w:rsidRPr="006A47DA">
              <w:rPr>
                <w:rFonts w:cstheme="minorHAnsi"/>
                <w:sz w:val="24"/>
                <w:szCs w:val="24"/>
                <w:shd w:val="clear" w:color="auto" w:fill="FFFFFF"/>
              </w:rPr>
              <w:t xml:space="preserve"> </w:t>
            </w:r>
            <w:r w:rsidRPr="006A47DA">
              <w:rPr>
                <w:rFonts w:cstheme="minorHAnsi"/>
                <w:sz w:val="24"/>
                <w:szCs w:val="24"/>
                <w:shd w:val="clear" w:color="auto" w:fill="FFFFFF"/>
              </w:rPr>
              <w:t>will explore ways to assess this invisible essential of midwifery</w:t>
            </w:r>
            <w:r w:rsidR="006A47DA" w:rsidRPr="006A47DA">
              <w:rPr>
                <w:rFonts w:cstheme="minorHAnsi"/>
                <w:sz w:val="24"/>
                <w:szCs w:val="24"/>
                <w:shd w:val="clear" w:color="auto" w:fill="FFFFFF"/>
              </w:rPr>
              <w:t xml:space="preserve"> </w:t>
            </w:r>
            <w:r w:rsidR="006A47DA">
              <w:rPr>
                <w:rFonts w:cstheme="minorHAnsi"/>
                <w:sz w:val="24"/>
                <w:szCs w:val="24"/>
                <w:shd w:val="clear" w:color="auto" w:fill="FFFFFF"/>
              </w:rPr>
              <w:t xml:space="preserve">in hopes that </w:t>
            </w:r>
            <w:r w:rsidR="006A47DA" w:rsidRPr="006A47DA">
              <w:rPr>
                <w:rFonts w:cstheme="minorHAnsi"/>
                <w:sz w:val="24"/>
                <w:szCs w:val="24"/>
                <w:shd w:val="clear" w:color="auto" w:fill="FFFFFF"/>
              </w:rPr>
              <w:t xml:space="preserve">other healthcare occupations with other paradigms may </w:t>
            </w:r>
            <w:r w:rsidR="006A47DA">
              <w:rPr>
                <w:rFonts w:cstheme="minorHAnsi"/>
                <w:sz w:val="24"/>
                <w:szCs w:val="24"/>
                <w:shd w:val="clear" w:color="auto" w:fill="FFFFFF"/>
              </w:rPr>
              <w:t xml:space="preserve">consider how to </w:t>
            </w:r>
            <w:r w:rsidR="006A47DA" w:rsidRPr="006A47DA">
              <w:rPr>
                <w:rFonts w:cstheme="minorHAnsi"/>
                <w:sz w:val="24"/>
                <w:szCs w:val="24"/>
                <w:shd w:val="clear" w:color="auto" w:fill="FFFFFF"/>
              </w:rPr>
              <w:t xml:space="preserve">do the same. </w:t>
            </w:r>
          </w:p>
        </w:tc>
      </w:tr>
      <w:tr w:rsidR="001D3057" w14:paraId="568EBF8B" w14:textId="77777777" w:rsidTr="00A94567">
        <w:tc>
          <w:tcPr>
            <w:tcW w:w="2265" w:type="dxa"/>
            <w:tcBorders>
              <w:right w:val="nil"/>
            </w:tcBorders>
            <w:shd w:val="clear" w:color="auto" w:fill="9BC7CE" w:themeFill="accent5" w:themeFillTint="99"/>
          </w:tcPr>
          <w:p w14:paraId="37150DF6" w14:textId="77777777" w:rsidR="001D3057" w:rsidRPr="00264AD2" w:rsidRDefault="001D3057" w:rsidP="00492048">
            <w:pPr>
              <w:rPr>
                <w:rFonts w:cstheme="minorHAnsi"/>
                <w:b/>
                <w:bCs/>
                <w:sz w:val="26"/>
                <w:szCs w:val="26"/>
              </w:rPr>
            </w:pPr>
          </w:p>
        </w:tc>
        <w:tc>
          <w:tcPr>
            <w:tcW w:w="8445" w:type="dxa"/>
            <w:tcBorders>
              <w:left w:val="nil"/>
            </w:tcBorders>
            <w:shd w:val="clear" w:color="auto" w:fill="9BC7CE" w:themeFill="accent5" w:themeFillTint="99"/>
          </w:tcPr>
          <w:p w14:paraId="3DC5565B" w14:textId="77777777" w:rsidR="001D3057" w:rsidRPr="00D2755F" w:rsidRDefault="001D3057" w:rsidP="009D61A2">
            <w:pPr>
              <w:rPr>
                <w:rStyle w:val="normaltextrun"/>
                <w:rFonts w:ascii="Times New Roman" w:hAnsi="Times New Roman" w:cs="Times New Roman"/>
                <w:sz w:val="24"/>
                <w:szCs w:val="24"/>
                <w:shd w:val="clear" w:color="auto" w:fill="FFFFFF"/>
              </w:rPr>
            </w:pPr>
          </w:p>
        </w:tc>
      </w:tr>
      <w:tr w:rsidR="003F7E01" w14:paraId="6E0EF3AE" w14:textId="77777777" w:rsidTr="003F7E01">
        <w:tc>
          <w:tcPr>
            <w:tcW w:w="2265" w:type="dxa"/>
            <w:tcBorders>
              <w:right w:val="nil"/>
            </w:tcBorders>
          </w:tcPr>
          <w:p w14:paraId="7182B010" w14:textId="77777777" w:rsidR="003F7E01" w:rsidRDefault="003F7E01" w:rsidP="00492048">
            <w:pPr>
              <w:rPr>
                <w:rFonts w:cstheme="minorHAnsi"/>
                <w:b/>
                <w:bCs/>
                <w:sz w:val="26"/>
                <w:szCs w:val="26"/>
              </w:rPr>
            </w:pPr>
            <w:r>
              <w:rPr>
                <w:rFonts w:cstheme="minorHAnsi"/>
                <w:b/>
                <w:bCs/>
                <w:sz w:val="26"/>
                <w:szCs w:val="26"/>
              </w:rPr>
              <w:t>1:</w:t>
            </w:r>
            <w:r w:rsidR="00511114">
              <w:rPr>
                <w:rFonts w:cstheme="minorHAnsi"/>
                <w:b/>
                <w:bCs/>
                <w:sz w:val="26"/>
                <w:szCs w:val="26"/>
              </w:rPr>
              <w:t xml:space="preserve">35 </w:t>
            </w:r>
          </w:p>
          <w:p w14:paraId="06F541E2" w14:textId="3DA94156" w:rsidR="000260DD" w:rsidRPr="00264AD2" w:rsidRDefault="000260DD" w:rsidP="00492048">
            <w:pPr>
              <w:rPr>
                <w:rFonts w:cstheme="minorHAnsi"/>
                <w:b/>
                <w:bCs/>
                <w:sz w:val="26"/>
                <w:szCs w:val="26"/>
              </w:rPr>
            </w:pPr>
            <w:r w:rsidRPr="00636171">
              <w:rPr>
                <w:rFonts w:cstheme="minorHAnsi"/>
                <w:b/>
                <w:bCs/>
                <w:sz w:val="26"/>
                <w:szCs w:val="26"/>
              </w:rPr>
              <w:t>PRESENTATION</w:t>
            </w:r>
          </w:p>
        </w:tc>
        <w:tc>
          <w:tcPr>
            <w:tcW w:w="8445" w:type="dxa"/>
            <w:tcBorders>
              <w:left w:val="nil"/>
            </w:tcBorders>
          </w:tcPr>
          <w:p w14:paraId="50F56F29" w14:textId="77777777" w:rsidR="003F7E01" w:rsidRDefault="00511114" w:rsidP="009D61A2">
            <w:pPr>
              <w:rPr>
                <w:rStyle w:val="normaltextrun"/>
                <w:rFonts w:cstheme="minorHAnsi"/>
                <w:b/>
                <w:bCs/>
                <w:sz w:val="28"/>
                <w:szCs w:val="28"/>
                <w:shd w:val="clear" w:color="auto" w:fill="FFFFFF"/>
              </w:rPr>
            </w:pPr>
            <w:r w:rsidRPr="00511114">
              <w:rPr>
                <w:rStyle w:val="normaltextrun"/>
                <w:rFonts w:cstheme="minorHAnsi"/>
                <w:b/>
                <w:bCs/>
                <w:sz w:val="28"/>
                <w:szCs w:val="28"/>
                <w:shd w:val="clear" w:color="auto" w:fill="FFFFFF"/>
              </w:rPr>
              <w:t>Harman Hans</w:t>
            </w:r>
            <w:r>
              <w:rPr>
                <w:rStyle w:val="normaltextrun"/>
                <w:rFonts w:cstheme="minorHAnsi"/>
                <w:b/>
                <w:bCs/>
                <w:sz w:val="28"/>
                <w:szCs w:val="28"/>
                <w:shd w:val="clear" w:color="auto" w:fill="FFFFFF"/>
              </w:rPr>
              <w:t>,</w:t>
            </w:r>
            <w:r>
              <w:rPr>
                <w:rStyle w:val="normaltextrun"/>
                <w:sz w:val="28"/>
                <w:szCs w:val="28"/>
                <w:shd w:val="clear" w:color="auto" w:fill="FFFFFF"/>
              </w:rPr>
              <w:t xml:space="preserve"> </w:t>
            </w:r>
            <w:r w:rsidRPr="00511114">
              <w:rPr>
                <w:rStyle w:val="normaltextrun"/>
                <w:b/>
                <w:bCs/>
                <w:sz w:val="28"/>
                <w:szCs w:val="28"/>
                <w:shd w:val="clear" w:color="auto" w:fill="FFFFFF"/>
              </w:rPr>
              <w:t>University of the Fraser Valley, Canada</w:t>
            </w:r>
            <w:r w:rsidRPr="00511114">
              <w:rPr>
                <w:rStyle w:val="normaltextrun"/>
                <w:rFonts w:cstheme="minorHAnsi"/>
                <w:b/>
                <w:bCs/>
                <w:sz w:val="28"/>
                <w:szCs w:val="28"/>
                <w:shd w:val="clear" w:color="auto" w:fill="FFFFFF"/>
              </w:rPr>
              <w:t xml:space="preserve"> </w:t>
            </w:r>
          </w:p>
          <w:p w14:paraId="589B1D42" w14:textId="77777777" w:rsidR="00511114" w:rsidRDefault="00511114" w:rsidP="009D61A2">
            <w:pPr>
              <w:rPr>
                <w:rStyle w:val="normaltextrun"/>
                <w:sz w:val="28"/>
                <w:szCs w:val="28"/>
                <w:shd w:val="clear" w:color="auto" w:fill="FFFFFF"/>
              </w:rPr>
            </w:pPr>
          </w:p>
          <w:p w14:paraId="2E68B4BA" w14:textId="77777777" w:rsidR="00511114" w:rsidRDefault="00511114" w:rsidP="009D61A2">
            <w:pPr>
              <w:rPr>
                <w:rStyle w:val="normaltextrun"/>
                <w:b/>
                <w:bCs/>
                <w:sz w:val="28"/>
                <w:szCs w:val="28"/>
                <w:shd w:val="clear" w:color="auto" w:fill="FFFFFF"/>
              </w:rPr>
            </w:pPr>
            <w:r w:rsidRPr="00FC565B">
              <w:rPr>
                <w:rStyle w:val="normaltextrun"/>
                <w:b/>
                <w:bCs/>
                <w:sz w:val="28"/>
                <w:szCs w:val="28"/>
                <w:shd w:val="clear" w:color="auto" w:fill="FFFFFF"/>
              </w:rPr>
              <w:t>“</w:t>
            </w:r>
            <w:r w:rsidR="00FC565B" w:rsidRPr="00FC565B">
              <w:rPr>
                <w:rStyle w:val="normaltextrun"/>
                <w:b/>
                <w:bCs/>
                <w:sz w:val="28"/>
                <w:szCs w:val="28"/>
                <w:shd w:val="clear" w:color="auto" w:fill="FFFFFF"/>
              </w:rPr>
              <w:t xml:space="preserve">Testing Cultural Knowledge through Case Studies” </w:t>
            </w:r>
          </w:p>
          <w:p w14:paraId="104A1990" w14:textId="77777777" w:rsidR="00FC565B" w:rsidRDefault="00FC565B" w:rsidP="009D61A2">
            <w:pPr>
              <w:rPr>
                <w:rStyle w:val="normaltextrun"/>
                <w:rFonts w:cstheme="minorHAnsi"/>
                <w:b/>
                <w:bCs/>
                <w:sz w:val="28"/>
                <w:szCs w:val="28"/>
                <w:shd w:val="clear" w:color="auto" w:fill="FFFFFF"/>
              </w:rPr>
            </w:pPr>
          </w:p>
          <w:p w14:paraId="3A70A713" w14:textId="4F3645EA" w:rsidR="000260DD" w:rsidRDefault="00A5284D" w:rsidP="009D61A2">
            <w:pPr>
              <w:rPr>
                <w:rStyle w:val="normaltextrun"/>
                <w:rFonts w:cstheme="minorHAnsi"/>
                <w:sz w:val="24"/>
                <w:szCs w:val="24"/>
                <w:shd w:val="clear" w:color="auto" w:fill="FFFFFF"/>
              </w:rPr>
            </w:pPr>
            <w:r>
              <w:rPr>
                <w:rStyle w:val="normaltextrun"/>
                <w:rFonts w:cstheme="minorHAnsi"/>
                <w:sz w:val="24"/>
                <w:szCs w:val="24"/>
                <w:shd w:val="clear" w:color="auto" w:fill="FFFFFF"/>
              </w:rPr>
              <w:t xml:space="preserve">In this presentation you will hear how </w:t>
            </w:r>
            <w:r w:rsidR="00684DC5">
              <w:rPr>
                <w:rStyle w:val="normaltextrun"/>
                <w:rFonts w:cstheme="minorHAnsi"/>
                <w:sz w:val="24"/>
                <w:szCs w:val="24"/>
                <w:shd w:val="clear" w:color="auto" w:fill="FFFFFF"/>
              </w:rPr>
              <w:t xml:space="preserve">students </w:t>
            </w:r>
            <w:r w:rsidR="003C24FF">
              <w:rPr>
                <w:rStyle w:val="normaltextrun"/>
                <w:rFonts w:cstheme="minorHAnsi"/>
                <w:sz w:val="24"/>
                <w:szCs w:val="24"/>
                <w:shd w:val="clear" w:color="auto" w:fill="FFFFFF"/>
              </w:rPr>
              <w:t xml:space="preserve">apply </w:t>
            </w:r>
            <w:r w:rsidR="00684DC5">
              <w:rPr>
                <w:rStyle w:val="normaltextrun"/>
                <w:rFonts w:cstheme="minorHAnsi"/>
                <w:sz w:val="24"/>
                <w:szCs w:val="24"/>
                <w:shd w:val="clear" w:color="auto" w:fill="FFFFFF"/>
              </w:rPr>
              <w:t xml:space="preserve">the content presented in the classroom to a case study </w:t>
            </w:r>
            <w:r w:rsidR="00D5516F">
              <w:rPr>
                <w:rStyle w:val="normaltextrun"/>
                <w:rFonts w:cstheme="minorHAnsi"/>
                <w:sz w:val="24"/>
                <w:szCs w:val="24"/>
                <w:shd w:val="clear" w:color="auto" w:fill="FFFFFF"/>
              </w:rPr>
              <w:t xml:space="preserve">using very brief notes. Communication approaches and themes from the discussions </w:t>
            </w:r>
            <w:r w:rsidR="000260DD">
              <w:rPr>
                <w:rStyle w:val="normaltextrun"/>
                <w:rFonts w:cstheme="minorHAnsi"/>
                <w:sz w:val="24"/>
                <w:szCs w:val="24"/>
                <w:shd w:val="clear" w:color="auto" w:fill="FFFFFF"/>
              </w:rPr>
              <w:t>are</w:t>
            </w:r>
            <w:r w:rsidR="00D5516F">
              <w:rPr>
                <w:rStyle w:val="normaltextrun"/>
                <w:rFonts w:cstheme="minorHAnsi"/>
                <w:sz w:val="24"/>
                <w:szCs w:val="24"/>
                <w:shd w:val="clear" w:color="auto" w:fill="FFFFFF"/>
              </w:rPr>
              <w:t xml:space="preserve"> </w:t>
            </w:r>
            <w:r w:rsidR="000260DD">
              <w:rPr>
                <w:rStyle w:val="normaltextrun"/>
                <w:rFonts w:cstheme="minorHAnsi"/>
                <w:sz w:val="24"/>
                <w:szCs w:val="24"/>
                <w:shd w:val="clear" w:color="auto" w:fill="FFFFFF"/>
              </w:rPr>
              <w:t>evaluated.</w:t>
            </w:r>
          </w:p>
          <w:p w14:paraId="09ED4223" w14:textId="4D025C3A" w:rsidR="00A5284D" w:rsidRPr="00A5284D" w:rsidRDefault="00A5284D" w:rsidP="009D61A2">
            <w:pPr>
              <w:rPr>
                <w:rStyle w:val="normaltextrun"/>
                <w:rFonts w:cstheme="minorHAnsi"/>
                <w:sz w:val="24"/>
                <w:szCs w:val="24"/>
                <w:shd w:val="clear" w:color="auto" w:fill="FFFFFF"/>
              </w:rPr>
            </w:pPr>
          </w:p>
        </w:tc>
      </w:tr>
      <w:tr w:rsidR="002A45E8" w14:paraId="73A82B05" w14:textId="77777777" w:rsidTr="00A94567">
        <w:tc>
          <w:tcPr>
            <w:tcW w:w="2265" w:type="dxa"/>
            <w:tcBorders>
              <w:right w:val="nil"/>
            </w:tcBorders>
          </w:tcPr>
          <w:p w14:paraId="39DBF1BD" w14:textId="16AEDD71" w:rsidR="007951AC" w:rsidRDefault="000260DD" w:rsidP="00492048">
            <w:pPr>
              <w:rPr>
                <w:rFonts w:cstheme="minorHAnsi"/>
                <w:b/>
                <w:bCs/>
                <w:sz w:val="26"/>
                <w:szCs w:val="26"/>
              </w:rPr>
            </w:pPr>
            <w:r>
              <w:rPr>
                <w:rFonts w:cstheme="minorHAnsi"/>
                <w:b/>
                <w:bCs/>
                <w:sz w:val="26"/>
                <w:szCs w:val="26"/>
              </w:rPr>
              <w:t xml:space="preserve">1:55 </w:t>
            </w:r>
            <w:r w:rsidR="005E41C5">
              <w:rPr>
                <w:rFonts w:cstheme="minorHAnsi"/>
                <w:b/>
                <w:bCs/>
                <w:sz w:val="26"/>
                <w:szCs w:val="26"/>
              </w:rPr>
              <w:t>PM</w:t>
            </w:r>
          </w:p>
          <w:p w14:paraId="689E0267" w14:textId="220A8635" w:rsidR="005E41C5" w:rsidRPr="00264AD2" w:rsidRDefault="005E41C5" w:rsidP="00492048">
            <w:pPr>
              <w:rPr>
                <w:rFonts w:cstheme="minorHAnsi"/>
                <w:b/>
                <w:bCs/>
                <w:sz w:val="26"/>
                <w:szCs w:val="26"/>
              </w:rPr>
            </w:pPr>
            <w:r>
              <w:rPr>
                <w:rFonts w:cstheme="minorHAnsi"/>
                <w:b/>
                <w:bCs/>
                <w:sz w:val="26"/>
                <w:szCs w:val="26"/>
              </w:rPr>
              <w:t xml:space="preserve">CLOSING REMARKS </w:t>
            </w:r>
          </w:p>
        </w:tc>
        <w:tc>
          <w:tcPr>
            <w:tcW w:w="8445" w:type="dxa"/>
            <w:tcBorders>
              <w:left w:val="nil"/>
            </w:tcBorders>
          </w:tcPr>
          <w:p w14:paraId="2EAACA62" w14:textId="77777777" w:rsidR="002A45E8" w:rsidRDefault="000D1A40" w:rsidP="001161AC">
            <w:pPr>
              <w:spacing w:after="160" w:line="259" w:lineRule="auto"/>
              <w:rPr>
                <w:b/>
                <w:bCs/>
                <w:sz w:val="28"/>
                <w:szCs w:val="28"/>
              </w:rPr>
            </w:pPr>
            <w:r w:rsidRPr="00E80BDF">
              <w:rPr>
                <w:b/>
                <w:bCs/>
                <w:sz w:val="28"/>
                <w:szCs w:val="28"/>
              </w:rPr>
              <w:t>Eliana ElKhoury</w:t>
            </w:r>
            <w:r w:rsidR="006C4A84" w:rsidRPr="00E80BDF">
              <w:rPr>
                <w:b/>
                <w:bCs/>
                <w:sz w:val="28"/>
                <w:szCs w:val="28"/>
              </w:rPr>
              <w:t>, Athabasca University</w:t>
            </w:r>
          </w:p>
          <w:p w14:paraId="10CF16BE" w14:textId="59BD0276" w:rsidR="002241A0" w:rsidRPr="001B7D66" w:rsidRDefault="002241A0" w:rsidP="001161AC">
            <w:pPr>
              <w:spacing w:after="160" w:line="259" w:lineRule="auto"/>
              <w:rPr>
                <w:sz w:val="24"/>
                <w:szCs w:val="24"/>
              </w:rPr>
            </w:pPr>
            <w:r w:rsidRPr="001B7D66">
              <w:rPr>
                <w:sz w:val="24"/>
                <w:szCs w:val="24"/>
              </w:rPr>
              <w:t xml:space="preserve">Hear how you can access presentation </w:t>
            </w:r>
            <w:r w:rsidR="001B7D66" w:rsidRPr="001B7D66">
              <w:rPr>
                <w:sz w:val="24"/>
                <w:szCs w:val="24"/>
              </w:rPr>
              <w:t>recordings, slideshows</w:t>
            </w:r>
            <w:r w:rsidR="001B7D66">
              <w:rPr>
                <w:sz w:val="24"/>
                <w:szCs w:val="24"/>
              </w:rPr>
              <w:t>, etc.</w:t>
            </w:r>
          </w:p>
        </w:tc>
      </w:tr>
      <w:tr w:rsidR="001D3057" w14:paraId="47D81822" w14:textId="77777777" w:rsidTr="00A94567">
        <w:tc>
          <w:tcPr>
            <w:tcW w:w="2265" w:type="dxa"/>
            <w:tcBorders>
              <w:right w:val="nil"/>
            </w:tcBorders>
            <w:shd w:val="clear" w:color="auto" w:fill="9BC7CE" w:themeFill="accent5" w:themeFillTint="99"/>
          </w:tcPr>
          <w:p w14:paraId="2907FEAA" w14:textId="77777777" w:rsidR="001D3057" w:rsidRDefault="001D3057" w:rsidP="00492048">
            <w:pPr>
              <w:rPr>
                <w:rFonts w:cstheme="minorHAnsi"/>
                <w:b/>
                <w:bCs/>
                <w:sz w:val="26"/>
                <w:szCs w:val="26"/>
              </w:rPr>
            </w:pPr>
          </w:p>
        </w:tc>
        <w:tc>
          <w:tcPr>
            <w:tcW w:w="8445" w:type="dxa"/>
            <w:tcBorders>
              <w:left w:val="nil"/>
            </w:tcBorders>
            <w:shd w:val="clear" w:color="auto" w:fill="9BC7CE" w:themeFill="accent5" w:themeFillTint="99"/>
          </w:tcPr>
          <w:p w14:paraId="32C1975A" w14:textId="77777777" w:rsidR="001D3057" w:rsidRPr="0048008B" w:rsidRDefault="001D3057" w:rsidP="00395C8F">
            <w:pPr>
              <w:rPr>
                <w:b/>
                <w:bCs/>
                <w:sz w:val="24"/>
                <w:szCs w:val="24"/>
              </w:rPr>
            </w:pPr>
          </w:p>
        </w:tc>
      </w:tr>
    </w:tbl>
    <w:p w14:paraId="03AEEED3" w14:textId="77777777" w:rsidR="00FD5133" w:rsidRPr="00A5620C" w:rsidRDefault="00FD5133" w:rsidP="00DD5014">
      <w:pPr>
        <w:rPr>
          <w:rFonts w:cstheme="minorHAnsi"/>
        </w:rPr>
      </w:pPr>
    </w:p>
    <w:sectPr w:rsidR="00FD5133" w:rsidRPr="00A5620C" w:rsidSect="0050447C">
      <w:pgSz w:w="12240" w:h="15840"/>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D11E5"/>
    <w:multiLevelType w:val="multilevel"/>
    <w:tmpl w:val="434A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5C3764"/>
    <w:multiLevelType w:val="hybridMultilevel"/>
    <w:tmpl w:val="8C5E9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0613565">
    <w:abstractNumId w:val="1"/>
  </w:num>
  <w:num w:numId="2" w16cid:durableId="154541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014"/>
    <w:rsid w:val="0000565E"/>
    <w:rsid w:val="00011C02"/>
    <w:rsid w:val="00014684"/>
    <w:rsid w:val="00016917"/>
    <w:rsid w:val="000202E0"/>
    <w:rsid w:val="000205A0"/>
    <w:rsid w:val="0002061A"/>
    <w:rsid w:val="00021AB2"/>
    <w:rsid w:val="000251CE"/>
    <w:rsid w:val="00025445"/>
    <w:rsid w:val="000260DD"/>
    <w:rsid w:val="0005290E"/>
    <w:rsid w:val="00054CA8"/>
    <w:rsid w:val="000715AE"/>
    <w:rsid w:val="000919B4"/>
    <w:rsid w:val="00091C1D"/>
    <w:rsid w:val="000974BC"/>
    <w:rsid w:val="000A3510"/>
    <w:rsid w:val="000A6AAA"/>
    <w:rsid w:val="000B7694"/>
    <w:rsid w:val="000D1A40"/>
    <w:rsid w:val="000E35A2"/>
    <w:rsid w:val="000E470D"/>
    <w:rsid w:val="000E524F"/>
    <w:rsid w:val="000F1873"/>
    <w:rsid w:val="000F1BEB"/>
    <w:rsid w:val="000F26D5"/>
    <w:rsid w:val="000F2A42"/>
    <w:rsid w:val="000F2FAD"/>
    <w:rsid w:val="0010151A"/>
    <w:rsid w:val="00106BAF"/>
    <w:rsid w:val="00112013"/>
    <w:rsid w:val="0011532A"/>
    <w:rsid w:val="001161AC"/>
    <w:rsid w:val="001218AF"/>
    <w:rsid w:val="0012223B"/>
    <w:rsid w:val="00124FBE"/>
    <w:rsid w:val="001333B5"/>
    <w:rsid w:val="00142B2C"/>
    <w:rsid w:val="00157F0B"/>
    <w:rsid w:val="0016222E"/>
    <w:rsid w:val="00174B85"/>
    <w:rsid w:val="0017616E"/>
    <w:rsid w:val="00191279"/>
    <w:rsid w:val="001A1736"/>
    <w:rsid w:val="001A5DE9"/>
    <w:rsid w:val="001B7D66"/>
    <w:rsid w:val="001C188E"/>
    <w:rsid w:val="001C1B70"/>
    <w:rsid w:val="001C272C"/>
    <w:rsid w:val="001C4D41"/>
    <w:rsid w:val="001C6C7F"/>
    <w:rsid w:val="001D3057"/>
    <w:rsid w:val="001D428A"/>
    <w:rsid w:val="001D6514"/>
    <w:rsid w:val="001F08EA"/>
    <w:rsid w:val="001F43B6"/>
    <w:rsid w:val="00202A76"/>
    <w:rsid w:val="0020309F"/>
    <w:rsid w:val="00203B51"/>
    <w:rsid w:val="002072B1"/>
    <w:rsid w:val="0021005F"/>
    <w:rsid w:val="00210F2F"/>
    <w:rsid w:val="002129DA"/>
    <w:rsid w:val="002241A0"/>
    <w:rsid w:val="00224D5F"/>
    <w:rsid w:val="00240D46"/>
    <w:rsid w:val="00241488"/>
    <w:rsid w:val="00247AA6"/>
    <w:rsid w:val="00247CC0"/>
    <w:rsid w:val="00251D48"/>
    <w:rsid w:val="0025285D"/>
    <w:rsid w:val="00253061"/>
    <w:rsid w:val="00254CBE"/>
    <w:rsid w:val="002600A2"/>
    <w:rsid w:val="00260A6F"/>
    <w:rsid w:val="002611DF"/>
    <w:rsid w:val="00264AD2"/>
    <w:rsid w:val="00265BEA"/>
    <w:rsid w:val="00266021"/>
    <w:rsid w:val="00266E88"/>
    <w:rsid w:val="002676FA"/>
    <w:rsid w:val="00272A12"/>
    <w:rsid w:val="00285B24"/>
    <w:rsid w:val="002966E5"/>
    <w:rsid w:val="002A02C4"/>
    <w:rsid w:val="002A45E8"/>
    <w:rsid w:val="002A5505"/>
    <w:rsid w:val="002A7982"/>
    <w:rsid w:val="002B1D20"/>
    <w:rsid w:val="002B510A"/>
    <w:rsid w:val="002B70B7"/>
    <w:rsid w:val="002C3E35"/>
    <w:rsid w:val="002C4A5C"/>
    <w:rsid w:val="002C5FFD"/>
    <w:rsid w:val="002D240D"/>
    <w:rsid w:val="002D6014"/>
    <w:rsid w:val="002E5CEC"/>
    <w:rsid w:val="002E6037"/>
    <w:rsid w:val="002E7DEE"/>
    <w:rsid w:val="002E7FB1"/>
    <w:rsid w:val="002F0F1F"/>
    <w:rsid w:val="002F39B2"/>
    <w:rsid w:val="0031101D"/>
    <w:rsid w:val="003151B0"/>
    <w:rsid w:val="00316F9A"/>
    <w:rsid w:val="00317895"/>
    <w:rsid w:val="00320944"/>
    <w:rsid w:val="00330DCE"/>
    <w:rsid w:val="00333D1D"/>
    <w:rsid w:val="00334184"/>
    <w:rsid w:val="00342E11"/>
    <w:rsid w:val="00344651"/>
    <w:rsid w:val="003449ED"/>
    <w:rsid w:val="00344E56"/>
    <w:rsid w:val="00345C28"/>
    <w:rsid w:val="003478B8"/>
    <w:rsid w:val="00361E10"/>
    <w:rsid w:val="00366C68"/>
    <w:rsid w:val="003720DF"/>
    <w:rsid w:val="0037308C"/>
    <w:rsid w:val="00395C8F"/>
    <w:rsid w:val="00395FDF"/>
    <w:rsid w:val="003A1795"/>
    <w:rsid w:val="003C24FF"/>
    <w:rsid w:val="003D4E9A"/>
    <w:rsid w:val="003E4321"/>
    <w:rsid w:val="003E76DD"/>
    <w:rsid w:val="003F7E01"/>
    <w:rsid w:val="00400AAE"/>
    <w:rsid w:val="00403531"/>
    <w:rsid w:val="00407B36"/>
    <w:rsid w:val="00407B64"/>
    <w:rsid w:val="00422C9C"/>
    <w:rsid w:val="00430DCD"/>
    <w:rsid w:val="00435F29"/>
    <w:rsid w:val="00436879"/>
    <w:rsid w:val="00444FF1"/>
    <w:rsid w:val="0045213C"/>
    <w:rsid w:val="004615A2"/>
    <w:rsid w:val="0046448D"/>
    <w:rsid w:val="00465ECD"/>
    <w:rsid w:val="004666B9"/>
    <w:rsid w:val="004706E8"/>
    <w:rsid w:val="00490762"/>
    <w:rsid w:val="00491C1E"/>
    <w:rsid w:val="00492048"/>
    <w:rsid w:val="004A7E97"/>
    <w:rsid w:val="004B0536"/>
    <w:rsid w:val="004B1662"/>
    <w:rsid w:val="004D69E5"/>
    <w:rsid w:val="004D7CE3"/>
    <w:rsid w:val="004E53EE"/>
    <w:rsid w:val="004E6BD1"/>
    <w:rsid w:val="004F02F8"/>
    <w:rsid w:val="0050447C"/>
    <w:rsid w:val="005054D1"/>
    <w:rsid w:val="00511114"/>
    <w:rsid w:val="00513DE7"/>
    <w:rsid w:val="0051458F"/>
    <w:rsid w:val="0051571B"/>
    <w:rsid w:val="005171BF"/>
    <w:rsid w:val="00520899"/>
    <w:rsid w:val="005218F0"/>
    <w:rsid w:val="005348DF"/>
    <w:rsid w:val="00537689"/>
    <w:rsid w:val="00542D47"/>
    <w:rsid w:val="00542F10"/>
    <w:rsid w:val="00562B82"/>
    <w:rsid w:val="00564A32"/>
    <w:rsid w:val="00574B99"/>
    <w:rsid w:val="00575BDA"/>
    <w:rsid w:val="00577FBF"/>
    <w:rsid w:val="00581B91"/>
    <w:rsid w:val="00584BDE"/>
    <w:rsid w:val="00585AEA"/>
    <w:rsid w:val="00586B93"/>
    <w:rsid w:val="005A1BFD"/>
    <w:rsid w:val="005A1F36"/>
    <w:rsid w:val="005B1138"/>
    <w:rsid w:val="005B1F3F"/>
    <w:rsid w:val="005B6142"/>
    <w:rsid w:val="005C04D0"/>
    <w:rsid w:val="005C3AA8"/>
    <w:rsid w:val="005D4220"/>
    <w:rsid w:val="005E41C5"/>
    <w:rsid w:val="005E74F9"/>
    <w:rsid w:val="005F0C9C"/>
    <w:rsid w:val="0061100E"/>
    <w:rsid w:val="00616C12"/>
    <w:rsid w:val="006239FC"/>
    <w:rsid w:val="00630BA0"/>
    <w:rsid w:val="00636171"/>
    <w:rsid w:val="00636874"/>
    <w:rsid w:val="00637922"/>
    <w:rsid w:val="006469CE"/>
    <w:rsid w:val="0065122B"/>
    <w:rsid w:val="0065142B"/>
    <w:rsid w:val="006518D8"/>
    <w:rsid w:val="00653BFA"/>
    <w:rsid w:val="00664FFA"/>
    <w:rsid w:val="00665B25"/>
    <w:rsid w:val="00677F45"/>
    <w:rsid w:val="00684DC5"/>
    <w:rsid w:val="00687C46"/>
    <w:rsid w:val="0069315C"/>
    <w:rsid w:val="0069797B"/>
    <w:rsid w:val="006A0A9B"/>
    <w:rsid w:val="006A47DA"/>
    <w:rsid w:val="006A4DDF"/>
    <w:rsid w:val="006A5D76"/>
    <w:rsid w:val="006B4EAB"/>
    <w:rsid w:val="006B64EB"/>
    <w:rsid w:val="006C4A84"/>
    <w:rsid w:val="006D1F58"/>
    <w:rsid w:val="00702527"/>
    <w:rsid w:val="00711184"/>
    <w:rsid w:val="00713EE5"/>
    <w:rsid w:val="007145E4"/>
    <w:rsid w:val="00714F9C"/>
    <w:rsid w:val="00721555"/>
    <w:rsid w:val="00727BEE"/>
    <w:rsid w:val="007318E2"/>
    <w:rsid w:val="007330A1"/>
    <w:rsid w:val="00735233"/>
    <w:rsid w:val="00743C68"/>
    <w:rsid w:val="007442E5"/>
    <w:rsid w:val="00764396"/>
    <w:rsid w:val="00764608"/>
    <w:rsid w:val="0076654A"/>
    <w:rsid w:val="00776A27"/>
    <w:rsid w:val="007872B4"/>
    <w:rsid w:val="00793DA7"/>
    <w:rsid w:val="00794298"/>
    <w:rsid w:val="007951AC"/>
    <w:rsid w:val="007A4C94"/>
    <w:rsid w:val="007B325D"/>
    <w:rsid w:val="007C65A2"/>
    <w:rsid w:val="007D7EA4"/>
    <w:rsid w:val="008001CB"/>
    <w:rsid w:val="00804AC0"/>
    <w:rsid w:val="008124DE"/>
    <w:rsid w:val="00816393"/>
    <w:rsid w:val="00851956"/>
    <w:rsid w:val="00854450"/>
    <w:rsid w:val="00863D0D"/>
    <w:rsid w:val="0086589A"/>
    <w:rsid w:val="00874AFF"/>
    <w:rsid w:val="0087634F"/>
    <w:rsid w:val="008903C3"/>
    <w:rsid w:val="00894615"/>
    <w:rsid w:val="008A4531"/>
    <w:rsid w:val="008B0EF2"/>
    <w:rsid w:val="008C18DE"/>
    <w:rsid w:val="008C5218"/>
    <w:rsid w:val="008C75C6"/>
    <w:rsid w:val="008D53F0"/>
    <w:rsid w:val="008D79B8"/>
    <w:rsid w:val="008E0761"/>
    <w:rsid w:val="008F3835"/>
    <w:rsid w:val="008F75A9"/>
    <w:rsid w:val="009073A3"/>
    <w:rsid w:val="00910EE5"/>
    <w:rsid w:val="00911CF7"/>
    <w:rsid w:val="00913E0B"/>
    <w:rsid w:val="00914315"/>
    <w:rsid w:val="00914F03"/>
    <w:rsid w:val="0091762B"/>
    <w:rsid w:val="00917AC4"/>
    <w:rsid w:val="00923465"/>
    <w:rsid w:val="00923BD8"/>
    <w:rsid w:val="0092433B"/>
    <w:rsid w:val="00927160"/>
    <w:rsid w:val="00932F65"/>
    <w:rsid w:val="009405CE"/>
    <w:rsid w:val="00950508"/>
    <w:rsid w:val="009556EA"/>
    <w:rsid w:val="00957B32"/>
    <w:rsid w:val="00957DE8"/>
    <w:rsid w:val="00961E7F"/>
    <w:rsid w:val="009635F3"/>
    <w:rsid w:val="00966376"/>
    <w:rsid w:val="0097260A"/>
    <w:rsid w:val="00973FEB"/>
    <w:rsid w:val="00975D9B"/>
    <w:rsid w:val="009806E0"/>
    <w:rsid w:val="0098491E"/>
    <w:rsid w:val="00991E13"/>
    <w:rsid w:val="009962FE"/>
    <w:rsid w:val="00996660"/>
    <w:rsid w:val="00997E92"/>
    <w:rsid w:val="009A2A5C"/>
    <w:rsid w:val="009A64D7"/>
    <w:rsid w:val="009B2338"/>
    <w:rsid w:val="009C22ED"/>
    <w:rsid w:val="009C4820"/>
    <w:rsid w:val="009C60BD"/>
    <w:rsid w:val="009D3B2F"/>
    <w:rsid w:val="009D567E"/>
    <w:rsid w:val="009D61A2"/>
    <w:rsid w:val="009E2575"/>
    <w:rsid w:val="009E7877"/>
    <w:rsid w:val="009F16FC"/>
    <w:rsid w:val="00A126EF"/>
    <w:rsid w:val="00A12850"/>
    <w:rsid w:val="00A12DE5"/>
    <w:rsid w:val="00A166AA"/>
    <w:rsid w:val="00A322ED"/>
    <w:rsid w:val="00A323B6"/>
    <w:rsid w:val="00A41807"/>
    <w:rsid w:val="00A420F6"/>
    <w:rsid w:val="00A42A81"/>
    <w:rsid w:val="00A44514"/>
    <w:rsid w:val="00A5030F"/>
    <w:rsid w:val="00A5284D"/>
    <w:rsid w:val="00A55D3A"/>
    <w:rsid w:val="00A560DB"/>
    <w:rsid w:val="00A5620C"/>
    <w:rsid w:val="00A64768"/>
    <w:rsid w:val="00A94567"/>
    <w:rsid w:val="00AA289D"/>
    <w:rsid w:val="00AA528C"/>
    <w:rsid w:val="00AB4845"/>
    <w:rsid w:val="00AC234B"/>
    <w:rsid w:val="00AC270F"/>
    <w:rsid w:val="00AC76A3"/>
    <w:rsid w:val="00AD361F"/>
    <w:rsid w:val="00AD3F8C"/>
    <w:rsid w:val="00AD5909"/>
    <w:rsid w:val="00AE7258"/>
    <w:rsid w:val="00AF2C4B"/>
    <w:rsid w:val="00AF359B"/>
    <w:rsid w:val="00AF74A2"/>
    <w:rsid w:val="00B00217"/>
    <w:rsid w:val="00B034A8"/>
    <w:rsid w:val="00B1139D"/>
    <w:rsid w:val="00B11F20"/>
    <w:rsid w:val="00B14B7A"/>
    <w:rsid w:val="00B202D4"/>
    <w:rsid w:val="00B36E73"/>
    <w:rsid w:val="00B37729"/>
    <w:rsid w:val="00B4261E"/>
    <w:rsid w:val="00B4287D"/>
    <w:rsid w:val="00B4533B"/>
    <w:rsid w:val="00B45C16"/>
    <w:rsid w:val="00B46DEF"/>
    <w:rsid w:val="00B60F8E"/>
    <w:rsid w:val="00B651F6"/>
    <w:rsid w:val="00B704D4"/>
    <w:rsid w:val="00B81C5A"/>
    <w:rsid w:val="00B851E8"/>
    <w:rsid w:val="00B904B6"/>
    <w:rsid w:val="00B9392D"/>
    <w:rsid w:val="00B96C1D"/>
    <w:rsid w:val="00B971EF"/>
    <w:rsid w:val="00BA0E68"/>
    <w:rsid w:val="00BA4095"/>
    <w:rsid w:val="00BA6A25"/>
    <w:rsid w:val="00BB2612"/>
    <w:rsid w:val="00BB6413"/>
    <w:rsid w:val="00BB74EF"/>
    <w:rsid w:val="00BC6CD8"/>
    <w:rsid w:val="00BC735E"/>
    <w:rsid w:val="00BC7F9B"/>
    <w:rsid w:val="00BD29BD"/>
    <w:rsid w:val="00BE2129"/>
    <w:rsid w:val="00BE2CF3"/>
    <w:rsid w:val="00BE31DD"/>
    <w:rsid w:val="00BE586A"/>
    <w:rsid w:val="00BF6201"/>
    <w:rsid w:val="00C00597"/>
    <w:rsid w:val="00C03E63"/>
    <w:rsid w:val="00C0550B"/>
    <w:rsid w:val="00C10565"/>
    <w:rsid w:val="00C12D3E"/>
    <w:rsid w:val="00C165A1"/>
    <w:rsid w:val="00C23463"/>
    <w:rsid w:val="00C27DD6"/>
    <w:rsid w:val="00C41EFA"/>
    <w:rsid w:val="00C423D4"/>
    <w:rsid w:val="00C43079"/>
    <w:rsid w:val="00C50103"/>
    <w:rsid w:val="00C56688"/>
    <w:rsid w:val="00C60734"/>
    <w:rsid w:val="00C618C5"/>
    <w:rsid w:val="00C63D15"/>
    <w:rsid w:val="00C70BD9"/>
    <w:rsid w:val="00C75CF7"/>
    <w:rsid w:val="00C76512"/>
    <w:rsid w:val="00C868CD"/>
    <w:rsid w:val="00C90673"/>
    <w:rsid w:val="00C9776F"/>
    <w:rsid w:val="00CA2BC4"/>
    <w:rsid w:val="00CB0C37"/>
    <w:rsid w:val="00CB52E7"/>
    <w:rsid w:val="00CB6844"/>
    <w:rsid w:val="00CB7308"/>
    <w:rsid w:val="00CC38AD"/>
    <w:rsid w:val="00CC5747"/>
    <w:rsid w:val="00CD1461"/>
    <w:rsid w:val="00CD1BC9"/>
    <w:rsid w:val="00CD7AE3"/>
    <w:rsid w:val="00CE567F"/>
    <w:rsid w:val="00CF5A87"/>
    <w:rsid w:val="00CF6DAA"/>
    <w:rsid w:val="00D175F2"/>
    <w:rsid w:val="00D244BA"/>
    <w:rsid w:val="00D2766F"/>
    <w:rsid w:val="00D27E77"/>
    <w:rsid w:val="00D32CF8"/>
    <w:rsid w:val="00D40D44"/>
    <w:rsid w:val="00D4186A"/>
    <w:rsid w:val="00D429CB"/>
    <w:rsid w:val="00D5013F"/>
    <w:rsid w:val="00D5516F"/>
    <w:rsid w:val="00D747B4"/>
    <w:rsid w:val="00D75DFC"/>
    <w:rsid w:val="00D86ACB"/>
    <w:rsid w:val="00DA435A"/>
    <w:rsid w:val="00DA6AE2"/>
    <w:rsid w:val="00DB44A6"/>
    <w:rsid w:val="00DC33D2"/>
    <w:rsid w:val="00DC6955"/>
    <w:rsid w:val="00DD26BC"/>
    <w:rsid w:val="00DD5014"/>
    <w:rsid w:val="00DE5649"/>
    <w:rsid w:val="00DF4D22"/>
    <w:rsid w:val="00E01310"/>
    <w:rsid w:val="00E07EAF"/>
    <w:rsid w:val="00E169AB"/>
    <w:rsid w:val="00E2457F"/>
    <w:rsid w:val="00E26617"/>
    <w:rsid w:val="00E27090"/>
    <w:rsid w:val="00E30A63"/>
    <w:rsid w:val="00E3544E"/>
    <w:rsid w:val="00E40714"/>
    <w:rsid w:val="00E44D9B"/>
    <w:rsid w:val="00E46ECD"/>
    <w:rsid w:val="00E65C1B"/>
    <w:rsid w:val="00E80BDF"/>
    <w:rsid w:val="00E814CD"/>
    <w:rsid w:val="00E823E8"/>
    <w:rsid w:val="00E8368C"/>
    <w:rsid w:val="00E8611C"/>
    <w:rsid w:val="00E873FE"/>
    <w:rsid w:val="00E90B07"/>
    <w:rsid w:val="00E93270"/>
    <w:rsid w:val="00EA07DB"/>
    <w:rsid w:val="00EA5C67"/>
    <w:rsid w:val="00EB400E"/>
    <w:rsid w:val="00EB6DB4"/>
    <w:rsid w:val="00ED10F4"/>
    <w:rsid w:val="00ED54BE"/>
    <w:rsid w:val="00EE210C"/>
    <w:rsid w:val="00EE3695"/>
    <w:rsid w:val="00EE5C5C"/>
    <w:rsid w:val="00EE706E"/>
    <w:rsid w:val="00EF6603"/>
    <w:rsid w:val="00F13EF5"/>
    <w:rsid w:val="00F14D7A"/>
    <w:rsid w:val="00F15077"/>
    <w:rsid w:val="00F23E96"/>
    <w:rsid w:val="00F264BC"/>
    <w:rsid w:val="00F33C4C"/>
    <w:rsid w:val="00F37922"/>
    <w:rsid w:val="00F42A90"/>
    <w:rsid w:val="00F52020"/>
    <w:rsid w:val="00F81890"/>
    <w:rsid w:val="00F96D71"/>
    <w:rsid w:val="00FA25A1"/>
    <w:rsid w:val="00FB06D5"/>
    <w:rsid w:val="00FB256B"/>
    <w:rsid w:val="00FC2447"/>
    <w:rsid w:val="00FC26EB"/>
    <w:rsid w:val="00FC32CE"/>
    <w:rsid w:val="00FC565B"/>
    <w:rsid w:val="00FD0F5E"/>
    <w:rsid w:val="00FD3803"/>
    <w:rsid w:val="00FD5133"/>
    <w:rsid w:val="00FD7A7D"/>
    <w:rsid w:val="00FE12BF"/>
    <w:rsid w:val="00FE2AA7"/>
    <w:rsid w:val="00FF45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063E"/>
  <w15:chartTrackingRefBased/>
  <w15:docId w15:val="{FB67E790-2EF7-42ED-9319-99692DD3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014"/>
    <w:rPr>
      <w:color w:val="0000FF"/>
      <w:u w:val="single"/>
    </w:rPr>
  </w:style>
  <w:style w:type="character" w:styleId="Emphasis">
    <w:name w:val="Emphasis"/>
    <w:basedOn w:val="DefaultParagraphFont"/>
    <w:uiPriority w:val="20"/>
    <w:qFormat/>
    <w:rsid w:val="00DD5014"/>
    <w:rPr>
      <w:i/>
      <w:iCs/>
    </w:rPr>
  </w:style>
  <w:style w:type="paragraph" w:styleId="ListParagraph">
    <w:name w:val="List Paragraph"/>
    <w:basedOn w:val="Normal"/>
    <w:uiPriority w:val="34"/>
    <w:qFormat/>
    <w:rsid w:val="00054CA8"/>
    <w:pPr>
      <w:ind w:left="720"/>
      <w:contextualSpacing/>
    </w:pPr>
  </w:style>
  <w:style w:type="character" w:styleId="UnresolvedMention">
    <w:name w:val="Unresolved Mention"/>
    <w:basedOn w:val="DefaultParagraphFont"/>
    <w:uiPriority w:val="99"/>
    <w:semiHidden/>
    <w:unhideWhenUsed/>
    <w:rsid w:val="008F3835"/>
    <w:rPr>
      <w:color w:val="605E5C"/>
      <w:shd w:val="clear" w:color="auto" w:fill="E1DFDD"/>
    </w:rPr>
  </w:style>
  <w:style w:type="table" w:styleId="TableGrid">
    <w:name w:val="Table Grid"/>
    <w:basedOn w:val="TableNormal"/>
    <w:uiPriority w:val="39"/>
    <w:rsid w:val="00492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048"/>
    <w:rPr>
      <w:color w:val="3EBBF0" w:themeColor="followedHyperlink"/>
      <w:u w:val="single"/>
    </w:rPr>
  </w:style>
  <w:style w:type="character" w:customStyle="1" w:styleId="normaltextrun">
    <w:name w:val="normaltextrun"/>
    <w:basedOn w:val="DefaultParagraphFont"/>
    <w:rsid w:val="00A322ED"/>
  </w:style>
  <w:style w:type="paragraph" w:styleId="NormalWeb">
    <w:name w:val="Normal (Web)"/>
    <w:basedOn w:val="Normal"/>
    <w:uiPriority w:val="99"/>
    <w:unhideWhenUsed/>
    <w:rsid w:val="00B904B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76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put.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homuth</dc:creator>
  <cp:keywords/>
  <dc:description/>
  <cp:lastModifiedBy>Deborah Homuth</cp:lastModifiedBy>
  <cp:revision>40</cp:revision>
  <dcterms:created xsi:type="dcterms:W3CDTF">2025-10-06T17:08:00Z</dcterms:created>
  <dcterms:modified xsi:type="dcterms:W3CDTF">2025-10-22T19:43:00Z</dcterms:modified>
</cp:coreProperties>
</file>